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DC2" w:rsidRPr="00380DA5" w:rsidRDefault="00457DC2" w:rsidP="009E4EDD">
      <w:pPr>
        <w:pStyle w:val="Heading2"/>
        <w:tabs>
          <w:tab w:val="left" w:pos="4536"/>
        </w:tabs>
        <w:spacing w:before="0" w:line="240" w:lineRule="auto"/>
        <w:rPr>
          <w:sz w:val="24"/>
          <w:szCs w:val="24"/>
        </w:rPr>
      </w:pPr>
      <w:r w:rsidRPr="00380DA5">
        <w:rPr>
          <w:sz w:val="24"/>
          <w:szCs w:val="24"/>
        </w:rPr>
        <w:t xml:space="preserve">                                                                                                                                                                                                </w:t>
      </w:r>
    </w:p>
    <w:p w:rsidR="00457DC2" w:rsidRPr="00380DA5" w:rsidRDefault="00457DC2" w:rsidP="006D221C">
      <w:pPr>
        <w:pStyle w:val="naisc"/>
        <w:spacing w:before="0" w:after="0"/>
        <w:rPr>
          <w:szCs w:val="24"/>
        </w:rPr>
      </w:pPr>
      <w:r w:rsidRPr="00380DA5">
        <w:rPr>
          <w:b/>
          <w:szCs w:val="24"/>
        </w:rPr>
        <w:t xml:space="preserve">Ministru kabineta </w:t>
      </w:r>
      <w:r w:rsidR="00835AEF">
        <w:rPr>
          <w:b/>
          <w:szCs w:val="24"/>
        </w:rPr>
        <w:t>noteikumu</w:t>
      </w:r>
      <w:r w:rsidRPr="00380DA5">
        <w:rPr>
          <w:b/>
          <w:szCs w:val="24"/>
        </w:rPr>
        <w:t xml:space="preserve"> projekta</w:t>
      </w:r>
      <w:bookmarkStart w:id="0" w:name="OLE_LINK3"/>
      <w:bookmarkStart w:id="1" w:name="OLE_LINK4"/>
      <w:r w:rsidR="006D221C">
        <w:rPr>
          <w:b/>
          <w:szCs w:val="24"/>
        </w:rPr>
        <w:t xml:space="preserve"> „P</w:t>
      </w:r>
      <w:r w:rsidR="00835AEF">
        <w:rPr>
          <w:b/>
          <w:szCs w:val="24"/>
        </w:rPr>
        <w:t>rogrammas</w:t>
      </w:r>
      <w:r w:rsidR="001D5DE7" w:rsidRPr="00380DA5">
        <w:rPr>
          <w:b/>
          <w:szCs w:val="24"/>
        </w:rPr>
        <w:t xml:space="preserve"> „Inovācijas „zaļās” ražošanas jomā” </w:t>
      </w:r>
      <w:r w:rsidR="006D221C">
        <w:rPr>
          <w:b/>
          <w:szCs w:val="24"/>
        </w:rPr>
        <w:t>īstenošanas</w:t>
      </w:r>
      <w:r w:rsidR="00835AEF">
        <w:rPr>
          <w:b/>
          <w:szCs w:val="24"/>
        </w:rPr>
        <w:t xml:space="preserve"> kārtība</w:t>
      </w:r>
      <w:r w:rsidR="001D5DE7" w:rsidRPr="00380DA5">
        <w:rPr>
          <w:b/>
          <w:szCs w:val="24"/>
        </w:rPr>
        <w:t>”</w:t>
      </w:r>
      <w:bookmarkEnd w:id="0"/>
      <w:bookmarkEnd w:id="1"/>
      <w:r w:rsidRPr="00380DA5">
        <w:rPr>
          <w:szCs w:val="24"/>
        </w:rPr>
        <w:t xml:space="preserve"> </w:t>
      </w:r>
      <w:bookmarkStart w:id="2" w:name="OLE_LINK5"/>
      <w:bookmarkStart w:id="3" w:name="OLE_LINK6"/>
      <w:r w:rsidRPr="00380DA5">
        <w:rPr>
          <w:b/>
          <w:szCs w:val="24"/>
        </w:rPr>
        <w:t>sākotnējās ietekmes novērtējuma ziņojums (anotācija)</w:t>
      </w:r>
      <w:bookmarkEnd w:id="2"/>
      <w:bookmarkEnd w:id="3"/>
    </w:p>
    <w:tbl>
      <w:tblPr>
        <w:tblW w:w="0" w:type="auto"/>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524"/>
        <w:gridCol w:w="2595"/>
        <w:gridCol w:w="5982"/>
      </w:tblGrid>
      <w:tr w:rsidR="00457DC2" w:rsidRPr="00835AEF">
        <w:tc>
          <w:tcPr>
            <w:tcW w:w="9101"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457DC2" w:rsidRPr="00380DA5" w:rsidRDefault="00457DC2">
            <w:pPr>
              <w:spacing w:before="75"/>
              <w:jc w:val="center"/>
              <w:rPr>
                <w:szCs w:val="24"/>
                <w:lang w:val="lv-LV"/>
              </w:rPr>
            </w:pPr>
            <w:r w:rsidRPr="00380DA5">
              <w:rPr>
                <w:szCs w:val="24"/>
                <w:lang w:val="lv-LV"/>
              </w:rPr>
              <w:t xml:space="preserve">  </w:t>
            </w:r>
            <w:r w:rsidRPr="00380DA5">
              <w:rPr>
                <w:b/>
                <w:szCs w:val="24"/>
                <w:lang w:val="lv-LV"/>
              </w:rPr>
              <w:t>I. Tiesību akta projekta izstrādes nepieciešamība</w:t>
            </w:r>
          </w:p>
        </w:tc>
      </w:tr>
      <w:tr w:rsidR="00457DC2" w:rsidRPr="00C040C4" w:rsidTr="008E41BA">
        <w:trPr>
          <w:trHeight w:val="502"/>
        </w:trPr>
        <w:tc>
          <w:tcPr>
            <w:tcW w:w="524"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after="75"/>
              <w:rPr>
                <w:szCs w:val="24"/>
                <w:lang w:val="lv-LV"/>
              </w:rPr>
            </w:pPr>
            <w:r w:rsidRPr="00380DA5">
              <w:rPr>
                <w:szCs w:val="24"/>
                <w:lang w:val="lv-LV"/>
              </w:rPr>
              <w:t> 1.</w:t>
            </w:r>
          </w:p>
        </w:tc>
        <w:tc>
          <w:tcPr>
            <w:tcW w:w="2595"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after="75"/>
              <w:rPr>
                <w:szCs w:val="24"/>
                <w:lang w:val="lv-LV"/>
              </w:rPr>
            </w:pPr>
            <w:r w:rsidRPr="00380DA5">
              <w:rPr>
                <w:szCs w:val="24"/>
                <w:lang w:val="lv-LV"/>
              </w:rPr>
              <w:t>Pamatojums</w:t>
            </w:r>
          </w:p>
        </w:tc>
        <w:tc>
          <w:tcPr>
            <w:tcW w:w="5982" w:type="dxa"/>
            <w:tcBorders>
              <w:top w:val="thickThinLargeGap" w:sz="6" w:space="0" w:color="C0C0C0"/>
              <w:left w:val="thickThinLargeGap" w:sz="6" w:space="0" w:color="C0C0C0"/>
              <w:bottom w:val="thickThinLargeGap" w:sz="6" w:space="0" w:color="C0C0C0"/>
              <w:right w:val="thickThinLargeGap" w:sz="6" w:space="0" w:color="C0C0C0"/>
            </w:tcBorders>
            <w:hideMark/>
          </w:tcPr>
          <w:p w:rsidR="00FA7C00" w:rsidRPr="00C071BE" w:rsidRDefault="00B87943" w:rsidP="00835AEF">
            <w:pPr>
              <w:pStyle w:val="BodyText"/>
              <w:tabs>
                <w:tab w:val="left" w:pos="814"/>
                <w:tab w:val="left" w:pos="1129"/>
              </w:tabs>
              <w:ind w:firstLine="425"/>
              <w:rPr>
                <w:sz w:val="24"/>
                <w:szCs w:val="24"/>
              </w:rPr>
            </w:pPr>
            <w:r w:rsidRPr="00C071BE">
              <w:rPr>
                <w:bCs/>
                <w:sz w:val="24"/>
                <w:szCs w:val="24"/>
              </w:rPr>
              <w:t xml:space="preserve">Ministru kabineta </w:t>
            </w:r>
            <w:r w:rsidR="00835AEF" w:rsidRPr="00C071BE">
              <w:rPr>
                <w:bCs/>
                <w:sz w:val="24"/>
                <w:szCs w:val="24"/>
              </w:rPr>
              <w:t xml:space="preserve">noteikumu </w:t>
            </w:r>
            <w:r w:rsidRPr="00C071BE">
              <w:rPr>
                <w:bCs/>
                <w:sz w:val="24"/>
                <w:szCs w:val="24"/>
              </w:rPr>
              <w:t>projekts</w:t>
            </w:r>
            <w:r w:rsidR="00835AEF" w:rsidRPr="00C071BE">
              <w:rPr>
                <w:sz w:val="24"/>
                <w:szCs w:val="24"/>
              </w:rPr>
              <w:t xml:space="preserve"> „Norvēģijas finanšu instrumenta 2009.- 2014.gada perioda līdzfinansētās programmas „Inovācijas „zaļās” ražošanas jomā” ieviešanas kārtība”</w:t>
            </w:r>
            <w:r w:rsidRPr="00C071BE">
              <w:rPr>
                <w:sz w:val="24"/>
                <w:szCs w:val="24"/>
              </w:rPr>
              <w:t xml:space="preserve"> (turpmāk– </w:t>
            </w:r>
            <w:r w:rsidR="00835AEF" w:rsidRPr="00C071BE">
              <w:rPr>
                <w:sz w:val="24"/>
                <w:szCs w:val="24"/>
              </w:rPr>
              <w:t>noteikumu</w:t>
            </w:r>
            <w:r w:rsidRPr="00C071BE">
              <w:rPr>
                <w:sz w:val="24"/>
                <w:szCs w:val="24"/>
              </w:rPr>
              <w:t xml:space="preserve"> projekts) izstrādāts, ievērojot Ministru kabineta </w:t>
            </w:r>
            <w:r w:rsidR="00FA1397" w:rsidRPr="00C071BE">
              <w:rPr>
                <w:sz w:val="24"/>
                <w:szCs w:val="24"/>
              </w:rPr>
              <w:t xml:space="preserve">2011.gada 29.marta </w:t>
            </w:r>
            <w:proofErr w:type="spellStart"/>
            <w:r w:rsidRPr="00C071BE">
              <w:rPr>
                <w:sz w:val="24"/>
                <w:szCs w:val="24"/>
              </w:rPr>
              <w:t>protokollēmuma</w:t>
            </w:r>
            <w:proofErr w:type="spellEnd"/>
            <w:r w:rsidRPr="00C071BE">
              <w:rPr>
                <w:sz w:val="24"/>
                <w:szCs w:val="24"/>
              </w:rPr>
              <w:t xml:space="preserve"> </w:t>
            </w:r>
            <w:proofErr w:type="spellStart"/>
            <w:r w:rsidRPr="00C071BE">
              <w:rPr>
                <w:sz w:val="24"/>
                <w:szCs w:val="24"/>
              </w:rPr>
              <w:t>Nr</w:t>
            </w:r>
            <w:proofErr w:type="spellEnd"/>
            <w:r w:rsidRPr="00C071BE">
              <w:rPr>
                <w:sz w:val="24"/>
                <w:szCs w:val="24"/>
              </w:rPr>
              <w:t>. 20 63.§ „Noteikumu projekts „Par Latvijas Republikas un Norvēģijas Karalistes saprašanās memorandu par Norvēģijas finanšu instrumenta ieviešanu 2009.</w:t>
            </w:r>
            <w:r w:rsidR="00132AFC" w:rsidRPr="00C071BE">
              <w:rPr>
                <w:sz w:val="24"/>
                <w:szCs w:val="24"/>
              </w:rPr>
              <w:t>-</w:t>
            </w:r>
            <w:r w:rsidRPr="00C071BE">
              <w:rPr>
                <w:sz w:val="24"/>
                <w:szCs w:val="24"/>
              </w:rPr>
              <w:t xml:space="preserve">2014.gadā”” (turpmāk– MK </w:t>
            </w:r>
            <w:proofErr w:type="spellStart"/>
            <w:r w:rsidRPr="00C071BE">
              <w:rPr>
                <w:sz w:val="24"/>
                <w:szCs w:val="24"/>
              </w:rPr>
              <w:t>protokollēmums</w:t>
            </w:r>
            <w:proofErr w:type="spellEnd"/>
            <w:r w:rsidRPr="00C071BE">
              <w:rPr>
                <w:sz w:val="24"/>
                <w:szCs w:val="24"/>
              </w:rPr>
              <w:t>)</w:t>
            </w:r>
            <w:r w:rsidR="00132AFC" w:rsidRPr="00C071BE">
              <w:rPr>
                <w:sz w:val="24"/>
                <w:szCs w:val="24"/>
              </w:rPr>
              <w:t xml:space="preserve"> </w:t>
            </w:r>
            <w:r w:rsidRPr="00C071BE">
              <w:rPr>
                <w:sz w:val="24"/>
                <w:szCs w:val="24"/>
              </w:rPr>
              <w:t>3.</w:t>
            </w:r>
            <w:r w:rsidR="00835AEF" w:rsidRPr="00C071BE">
              <w:rPr>
                <w:sz w:val="24"/>
                <w:szCs w:val="24"/>
              </w:rPr>
              <w:t>3</w:t>
            </w:r>
            <w:r w:rsidR="00492CFC" w:rsidRPr="00C071BE">
              <w:rPr>
                <w:sz w:val="24"/>
                <w:szCs w:val="24"/>
              </w:rPr>
              <w:t>.</w:t>
            </w:r>
            <w:r w:rsidRPr="00C071BE">
              <w:rPr>
                <w:sz w:val="24"/>
                <w:szCs w:val="24"/>
              </w:rPr>
              <w:t>apakšpunktu, kā arī 2011. gada 28. aprīļa Saprašanās memorandu par Norvēģijas finanšu instrumenta ieviešanu 2009.</w:t>
            </w:r>
            <w:r w:rsidR="00132AFC" w:rsidRPr="00C071BE">
              <w:rPr>
                <w:sz w:val="24"/>
                <w:szCs w:val="24"/>
              </w:rPr>
              <w:t>-</w:t>
            </w:r>
            <w:r w:rsidRPr="00C071BE">
              <w:rPr>
                <w:sz w:val="24"/>
                <w:szCs w:val="24"/>
              </w:rPr>
              <w:t>2014. gadā starp Latvijas Republiku un Norvēģijas Karalisti (turpmāk- saprašanās memorands).</w:t>
            </w:r>
          </w:p>
          <w:p w:rsidR="00D74A1E" w:rsidRPr="00380DA5" w:rsidRDefault="00D74A1E" w:rsidP="00132AFC">
            <w:pPr>
              <w:pStyle w:val="BodyText"/>
              <w:tabs>
                <w:tab w:val="left" w:pos="814"/>
                <w:tab w:val="left" w:pos="1129"/>
              </w:tabs>
              <w:rPr>
                <w:sz w:val="24"/>
                <w:szCs w:val="24"/>
              </w:rPr>
            </w:pPr>
            <w:r w:rsidRPr="00C071BE">
              <w:rPr>
                <w:sz w:val="24"/>
                <w:szCs w:val="24"/>
              </w:rPr>
              <w:t xml:space="preserve">Tiesību akta izdošanas tiesiskais pamats ir </w:t>
            </w:r>
            <w:r w:rsidR="00694E2C" w:rsidRPr="00C071BE">
              <w:rPr>
                <w:sz w:val="24"/>
                <w:szCs w:val="24"/>
              </w:rPr>
              <w:t>Eiropas Ekonomikas zonas finanšu instrumenta un Norvēģijas finan</w:t>
            </w:r>
            <w:r w:rsidR="00132AFC" w:rsidRPr="00C071BE">
              <w:rPr>
                <w:sz w:val="24"/>
                <w:szCs w:val="24"/>
              </w:rPr>
              <w:t>šu instrumenta 2009.-</w:t>
            </w:r>
            <w:r w:rsidR="00694E2C" w:rsidRPr="00C071BE">
              <w:rPr>
                <w:sz w:val="24"/>
                <w:szCs w:val="24"/>
              </w:rPr>
              <w:t>2014.gadam perioda vadības likuma (</w:t>
            </w:r>
            <w:r w:rsidR="00A95E3A" w:rsidRPr="00C071BE">
              <w:rPr>
                <w:sz w:val="24"/>
                <w:szCs w:val="24"/>
              </w:rPr>
              <w:t>2012.gada</w:t>
            </w:r>
            <w:r w:rsidR="00132AFC" w:rsidRPr="00C071BE">
              <w:rPr>
                <w:sz w:val="24"/>
                <w:szCs w:val="24"/>
              </w:rPr>
              <w:t xml:space="preserve"> </w:t>
            </w:r>
            <w:r w:rsidR="00A95E3A" w:rsidRPr="00C071BE">
              <w:rPr>
                <w:sz w:val="24"/>
                <w:szCs w:val="24"/>
              </w:rPr>
              <w:t xml:space="preserve">26.janvāra redakcijā) </w:t>
            </w:r>
            <w:r w:rsidR="00C040C4" w:rsidRPr="00C071BE">
              <w:rPr>
                <w:sz w:val="24"/>
                <w:szCs w:val="24"/>
              </w:rPr>
              <w:t xml:space="preserve">9.panta pirmā daļa un </w:t>
            </w:r>
            <w:r w:rsidR="00694E2C" w:rsidRPr="00C071BE">
              <w:rPr>
                <w:sz w:val="24"/>
                <w:szCs w:val="24"/>
              </w:rPr>
              <w:t>15.panta 5.</w:t>
            </w:r>
            <w:r w:rsidR="00E75B20" w:rsidRPr="00C071BE">
              <w:rPr>
                <w:sz w:val="24"/>
                <w:szCs w:val="24"/>
              </w:rPr>
              <w:t>, 6.</w:t>
            </w:r>
            <w:r w:rsidR="00694E2C" w:rsidRPr="00C071BE">
              <w:rPr>
                <w:sz w:val="24"/>
                <w:szCs w:val="24"/>
              </w:rPr>
              <w:t xml:space="preserve"> un 7. punkts.</w:t>
            </w:r>
          </w:p>
        </w:tc>
      </w:tr>
      <w:tr w:rsidR="00457DC2" w:rsidRPr="00C040C4" w:rsidTr="008E41BA">
        <w:trPr>
          <w:trHeight w:val="360"/>
        </w:trPr>
        <w:tc>
          <w:tcPr>
            <w:tcW w:w="524"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2.</w:t>
            </w:r>
          </w:p>
        </w:tc>
        <w:tc>
          <w:tcPr>
            <w:tcW w:w="2595"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after="75"/>
              <w:rPr>
                <w:szCs w:val="24"/>
                <w:lang w:val="lv-LV"/>
              </w:rPr>
            </w:pPr>
            <w:r w:rsidRPr="00380DA5">
              <w:rPr>
                <w:szCs w:val="24"/>
                <w:lang w:val="lv-LV"/>
              </w:rPr>
              <w:t>Pašreizējā situācija un problēmas</w:t>
            </w:r>
          </w:p>
        </w:tc>
        <w:tc>
          <w:tcPr>
            <w:tcW w:w="5982" w:type="dxa"/>
            <w:tcBorders>
              <w:top w:val="thickThinLargeGap" w:sz="6" w:space="0" w:color="C0C0C0"/>
              <w:left w:val="thickThinLargeGap" w:sz="6" w:space="0" w:color="C0C0C0"/>
              <w:bottom w:val="thickThinLargeGap" w:sz="6" w:space="0" w:color="C0C0C0"/>
              <w:right w:val="thickThinLargeGap" w:sz="6" w:space="0" w:color="C0C0C0"/>
            </w:tcBorders>
            <w:hideMark/>
          </w:tcPr>
          <w:p w:rsidR="00EB3BE0" w:rsidRDefault="00EB3BE0" w:rsidP="00B7701C">
            <w:pPr>
              <w:ind w:firstLine="425"/>
              <w:jc w:val="both"/>
              <w:rPr>
                <w:szCs w:val="24"/>
                <w:lang w:val="lv-LV"/>
              </w:rPr>
            </w:pPr>
            <w:r>
              <w:rPr>
                <w:szCs w:val="24"/>
                <w:lang w:val="lv-LV"/>
              </w:rPr>
              <w:t>Latvijā uzņēmējdarbības attīstības jomā eksistē šādas problēmas:</w:t>
            </w:r>
          </w:p>
          <w:p w:rsidR="000966DA" w:rsidRDefault="005608DB" w:rsidP="005608DB">
            <w:pPr>
              <w:pStyle w:val="ListParagraph"/>
              <w:numPr>
                <w:ilvl w:val="0"/>
                <w:numId w:val="1"/>
              </w:numPr>
              <w:ind w:left="34" w:firstLine="284"/>
              <w:jc w:val="both"/>
              <w:rPr>
                <w:szCs w:val="24"/>
                <w:lang w:val="lv-LV"/>
              </w:rPr>
            </w:pPr>
            <w:r w:rsidRPr="005608DB">
              <w:rPr>
                <w:szCs w:val="24"/>
                <w:lang w:val="lv-LV"/>
              </w:rPr>
              <w:t>n</w:t>
            </w:r>
            <w:r w:rsidR="00EB3BE0" w:rsidRPr="005608DB">
              <w:rPr>
                <w:szCs w:val="24"/>
                <w:lang w:val="lv-LV"/>
              </w:rPr>
              <w:t xml:space="preserve">eliels skaits </w:t>
            </w:r>
            <w:r w:rsidR="000966DA" w:rsidRPr="005608DB">
              <w:rPr>
                <w:szCs w:val="24"/>
                <w:lang w:val="lv-LV"/>
              </w:rPr>
              <w:t>jaunu komersantu augsti un vidēji tehnoloģiski ietilpīgās nozarēs;</w:t>
            </w:r>
          </w:p>
          <w:p w:rsidR="000966DA" w:rsidRDefault="00C05E91" w:rsidP="005608DB">
            <w:pPr>
              <w:pStyle w:val="ListParagraph"/>
              <w:numPr>
                <w:ilvl w:val="0"/>
                <w:numId w:val="1"/>
              </w:numPr>
              <w:ind w:left="34" w:firstLine="284"/>
              <w:jc w:val="both"/>
              <w:rPr>
                <w:szCs w:val="24"/>
                <w:lang w:val="lv-LV"/>
              </w:rPr>
            </w:pPr>
            <w:r>
              <w:rPr>
                <w:szCs w:val="24"/>
                <w:lang w:val="lv-LV"/>
              </w:rPr>
              <w:t>a</w:t>
            </w:r>
            <w:r w:rsidR="000966DA" w:rsidRPr="005608DB">
              <w:rPr>
                <w:szCs w:val="24"/>
                <w:lang w:val="lv-LV"/>
              </w:rPr>
              <w:t>ugsta riska uzņēmējdarbības attīstībai pietrūkst sēklas fāzes investīcijas;</w:t>
            </w:r>
          </w:p>
          <w:p w:rsidR="000966DA" w:rsidRDefault="00C05E91" w:rsidP="005608DB">
            <w:pPr>
              <w:pStyle w:val="ListParagraph"/>
              <w:numPr>
                <w:ilvl w:val="0"/>
                <w:numId w:val="1"/>
              </w:numPr>
              <w:ind w:left="34" w:firstLine="284"/>
              <w:jc w:val="both"/>
              <w:rPr>
                <w:szCs w:val="24"/>
                <w:lang w:val="lv-LV"/>
              </w:rPr>
            </w:pPr>
            <w:r>
              <w:rPr>
                <w:szCs w:val="24"/>
                <w:lang w:val="lv-LV"/>
              </w:rPr>
              <w:t>n</w:t>
            </w:r>
            <w:r w:rsidR="000966DA" w:rsidRPr="005608DB">
              <w:rPr>
                <w:szCs w:val="24"/>
                <w:lang w:val="lv-LV"/>
              </w:rPr>
              <w:t>av inkubatoru, kuru darbības profils ir augsti tehnoloģiski ietilpīgi strauji augoši uzņēmumi;</w:t>
            </w:r>
          </w:p>
          <w:p w:rsidR="00B81DAD" w:rsidRDefault="00C05E91" w:rsidP="005608DB">
            <w:pPr>
              <w:pStyle w:val="ListParagraph"/>
              <w:numPr>
                <w:ilvl w:val="0"/>
                <w:numId w:val="1"/>
              </w:numPr>
              <w:ind w:left="34" w:firstLine="284"/>
              <w:jc w:val="both"/>
              <w:rPr>
                <w:szCs w:val="24"/>
                <w:lang w:val="lv-LV"/>
              </w:rPr>
            </w:pPr>
            <w:r>
              <w:rPr>
                <w:szCs w:val="24"/>
                <w:lang w:val="lv-LV"/>
              </w:rPr>
              <w:t>n</w:t>
            </w:r>
            <w:r w:rsidR="000966DA">
              <w:rPr>
                <w:szCs w:val="24"/>
                <w:lang w:val="lv-LV"/>
              </w:rPr>
              <w:t xml:space="preserve">epietiekamas zinātnisko institūciju iespējas zinātnisko un tehnoloģisko ideju </w:t>
            </w:r>
            <w:proofErr w:type="spellStart"/>
            <w:r w:rsidR="000966DA">
              <w:rPr>
                <w:szCs w:val="24"/>
                <w:lang w:val="lv-LV"/>
              </w:rPr>
              <w:t>komercializācijā</w:t>
            </w:r>
            <w:proofErr w:type="spellEnd"/>
            <w:r w:rsidR="000966DA">
              <w:rPr>
                <w:szCs w:val="24"/>
                <w:lang w:val="lv-LV"/>
              </w:rPr>
              <w:t>.</w:t>
            </w:r>
          </w:p>
          <w:p w:rsidR="00AA08C1" w:rsidRPr="00B81DAD" w:rsidRDefault="000966DA" w:rsidP="00B81DAD">
            <w:pPr>
              <w:jc w:val="both"/>
              <w:rPr>
                <w:szCs w:val="24"/>
                <w:lang w:val="lv-LV"/>
              </w:rPr>
            </w:pPr>
            <w:r w:rsidRPr="00B81DAD">
              <w:rPr>
                <w:szCs w:val="24"/>
                <w:lang w:val="lv-LV"/>
              </w:rPr>
              <w:t xml:space="preserve"> Šīs problēmas plānots risināt, izveidojot</w:t>
            </w:r>
            <w:r w:rsidR="00835AEF" w:rsidRPr="00B81DAD">
              <w:rPr>
                <w:szCs w:val="24"/>
                <w:lang w:val="lv-LV"/>
              </w:rPr>
              <w:t xml:space="preserve"> Zaļo </w:t>
            </w:r>
            <w:r w:rsidR="00BC3B54" w:rsidRPr="00B81DAD">
              <w:rPr>
                <w:szCs w:val="24"/>
                <w:lang w:val="lv-LV"/>
              </w:rPr>
              <w:t>Tehnoloģiju inkubator</w:t>
            </w:r>
            <w:r w:rsidRPr="00B81DAD">
              <w:rPr>
                <w:szCs w:val="24"/>
                <w:lang w:val="lv-LV"/>
              </w:rPr>
              <w:t>u</w:t>
            </w:r>
            <w:r w:rsidR="00B81DAD">
              <w:rPr>
                <w:szCs w:val="24"/>
                <w:lang w:val="lv-LV"/>
              </w:rPr>
              <w:t>, kas</w:t>
            </w:r>
            <w:r w:rsidRPr="00B81DAD">
              <w:rPr>
                <w:szCs w:val="24"/>
                <w:lang w:val="lv-LV"/>
              </w:rPr>
              <w:t xml:space="preserve"> </w:t>
            </w:r>
            <w:r w:rsidR="00B81DAD">
              <w:rPr>
                <w:szCs w:val="24"/>
                <w:lang w:val="lv-LV"/>
              </w:rPr>
              <w:t>ļ</w:t>
            </w:r>
            <w:r w:rsidR="00BC3B54" w:rsidRPr="00B81DAD">
              <w:rPr>
                <w:szCs w:val="24"/>
                <w:lang w:val="lv-LV"/>
              </w:rPr>
              <w:t xml:space="preserve">aus novērst pašreiz pastāvošo tirgus nepilnību, kad nav pietiekams atbalsts inovatīviem un uz pētniecības un attīstības aktivitātēm orientētiem </w:t>
            </w:r>
            <w:r w:rsidR="00646F3A" w:rsidRPr="00B81DAD">
              <w:rPr>
                <w:szCs w:val="24"/>
                <w:lang w:val="lv-LV"/>
              </w:rPr>
              <w:t>komersantiem</w:t>
            </w:r>
            <w:r w:rsidR="00BC3B54" w:rsidRPr="00B81DAD">
              <w:rPr>
                <w:szCs w:val="24"/>
                <w:lang w:val="lv-LV"/>
              </w:rPr>
              <w:t xml:space="preserve"> </w:t>
            </w:r>
            <w:r w:rsidR="00E82AD0" w:rsidRPr="00B81DAD">
              <w:rPr>
                <w:szCs w:val="24"/>
                <w:lang w:val="lv-LV"/>
              </w:rPr>
              <w:t>to ideju tālākai attīstīšanai</w:t>
            </w:r>
            <w:r w:rsidR="00BC3B54" w:rsidRPr="00B81DAD">
              <w:rPr>
                <w:szCs w:val="24"/>
                <w:lang w:val="lv-LV"/>
              </w:rPr>
              <w:t xml:space="preserve"> līdz to gatavībai pilnvērtīgi pretendēt uz tirgus finanšu instrumentiem un citām atbalsta programmām.</w:t>
            </w:r>
            <w:r w:rsidR="00CB0A16" w:rsidRPr="00B81DAD">
              <w:rPr>
                <w:szCs w:val="24"/>
                <w:lang w:val="lv-LV"/>
              </w:rPr>
              <w:t xml:space="preserve"> </w:t>
            </w:r>
            <w:r w:rsidR="00835AEF" w:rsidRPr="00B81DAD">
              <w:rPr>
                <w:szCs w:val="24"/>
                <w:lang w:val="lv-LV"/>
              </w:rPr>
              <w:t xml:space="preserve">Zaļo </w:t>
            </w:r>
            <w:r w:rsidR="00CB0A16" w:rsidRPr="00B81DAD">
              <w:rPr>
                <w:szCs w:val="24"/>
                <w:lang w:val="lv-LV"/>
              </w:rPr>
              <w:t xml:space="preserve">Tehnoloģiju inkubatora operators būs Latvijas Universitātes, Rīgas Tehniskās </w:t>
            </w:r>
            <w:r w:rsidR="00B7701C" w:rsidRPr="00B81DAD">
              <w:rPr>
                <w:szCs w:val="24"/>
                <w:lang w:val="lv-LV"/>
              </w:rPr>
              <w:t>u</w:t>
            </w:r>
            <w:r w:rsidR="00CB0A16" w:rsidRPr="00B81DAD">
              <w:rPr>
                <w:szCs w:val="24"/>
                <w:lang w:val="lv-LV"/>
              </w:rPr>
              <w:t xml:space="preserve">niversitātes un Norvēģijas Industriālās </w:t>
            </w:r>
            <w:r w:rsidR="00563FAF" w:rsidRPr="00B81DAD">
              <w:rPr>
                <w:szCs w:val="24"/>
                <w:lang w:val="lv-LV"/>
              </w:rPr>
              <w:t>A</w:t>
            </w:r>
            <w:r w:rsidR="00CB0A16" w:rsidRPr="00B81DAD">
              <w:rPr>
                <w:szCs w:val="24"/>
                <w:lang w:val="lv-LV"/>
              </w:rPr>
              <w:t xml:space="preserve">ttīstības </w:t>
            </w:r>
            <w:r w:rsidR="00563FAF" w:rsidRPr="00B81DAD">
              <w:rPr>
                <w:szCs w:val="24"/>
                <w:lang w:val="lv-LV"/>
              </w:rPr>
              <w:t>K</w:t>
            </w:r>
            <w:r w:rsidR="00CB0A16" w:rsidRPr="00B81DAD">
              <w:rPr>
                <w:szCs w:val="24"/>
                <w:lang w:val="lv-LV"/>
              </w:rPr>
              <w:t xml:space="preserve">orporācijas SIVA izveidota institūcija. </w:t>
            </w:r>
            <w:r w:rsidR="00835AEF" w:rsidRPr="00B81DAD">
              <w:rPr>
                <w:szCs w:val="24"/>
                <w:lang w:val="lv-LV"/>
              </w:rPr>
              <w:t xml:space="preserve">Zaļo </w:t>
            </w:r>
            <w:r w:rsidR="00CB0A16" w:rsidRPr="00B81DAD">
              <w:rPr>
                <w:szCs w:val="24"/>
                <w:lang w:val="lv-LV"/>
              </w:rPr>
              <w:t xml:space="preserve">Tehnoloģiju inkubatora darbības nodrošināšanai tiks izveidota profesionāļu komanda, kurā līdzdarbosies Latvijas un Norvēģijas eksperti, kas šādā veidā nodrošinās </w:t>
            </w:r>
            <w:r w:rsidR="00835AEF" w:rsidRPr="00B81DAD">
              <w:rPr>
                <w:szCs w:val="24"/>
                <w:lang w:val="lv-LV"/>
              </w:rPr>
              <w:t xml:space="preserve">neliela apjoma grantu shēmas </w:t>
            </w:r>
            <w:r w:rsidR="00CB0A16" w:rsidRPr="00B81DAD">
              <w:rPr>
                <w:szCs w:val="24"/>
                <w:lang w:val="lv-LV"/>
              </w:rPr>
              <w:t xml:space="preserve">projekta iesniedzējus ar nepieciešamo atbalstu un sekmēs labās prakses un zināšanu pārņemšanu no </w:t>
            </w:r>
            <w:r w:rsidR="00563FAF" w:rsidRPr="00B81DAD">
              <w:rPr>
                <w:szCs w:val="24"/>
                <w:lang w:val="lv-LV"/>
              </w:rPr>
              <w:t>n</w:t>
            </w:r>
            <w:r w:rsidR="00CB0A16" w:rsidRPr="00B81DAD">
              <w:rPr>
                <w:szCs w:val="24"/>
                <w:lang w:val="lv-LV"/>
              </w:rPr>
              <w:t xml:space="preserve">orvēģu kolēģiem. Papildus abu lielāko Latvijas universitāšu iesaiste </w:t>
            </w:r>
            <w:r w:rsidR="00492CFC" w:rsidRPr="00B81DAD">
              <w:rPr>
                <w:szCs w:val="24"/>
                <w:lang w:val="lv-LV"/>
              </w:rPr>
              <w:t>būs</w:t>
            </w:r>
            <w:r w:rsidR="00563FAF" w:rsidRPr="00B81DAD">
              <w:rPr>
                <w:szCs w:val="24"/>
                <w:lang w:val="lv-LV"/>
              </w:rPr>
              <w:t xml:space="preserve"> sākumpunkts</w:t>
            </w:r>
            <w:r w:rsidR="00CB0A16" w:rsidRPr="00B81DAD">
              <w:rPr>
                <w:szCs w:val="24"/>
                <w:lang w:val="lv-LV"/>
              </w:rPr>
              <w:t xml:space="preserve">, lai veidotu </w:t>
            </w:r>
            <w:r w:rsidR="00563FAF" w:rsidRPr="00B81DAD">
              <w:rPr>
                <w:szCs w:val="24"/>
                <w:lang w:val="lv-LV"/>
              </w:rPr>
              <w:t>valsts nozīmes</w:t>
            </w:r>
            <w:r w:rsidR="00CB0A16" w:rsidRPr="00B81DAD">
              <w:rPr>
                <w:szCs w:val="24"/>
                <w:lang w:val="lv-LV"/>
              </w:rPr>
              <w:t xml:space="preserve"> platformu sadarbībai zinātnes komercializēšanā.</w:t>
            </w:r>
          </w:p>
          <w:p w:rsidR="009C7444" w:rsidRPr="00380DA5" w:rsidRDefault="00DD197F" w:rsidP="009C7444">
            <w:pPr>
              <w:ind w:firstLine="425"/>
              <w:jc w:val="both"/>
              <w:rPr>
                <w:szCs w:val="24"/>
                <w:lang w:val="lv-LV"/>
              </w:rPr>
            </w:pPr>
            <w:r w:rsidRPr="00380DA5">
              <w:rPr>
                <w:szCs w:val="24"/>
                <w:lang w:val="lv-LV"/>
              </w:rPr>
              <w:lastRenderedPageBreak/>
              <w:t>Balstoties uz iepriekš minēto</w:t>
            </w:r>
            <w:r w:rsidR="00835AEF">
              <w:rPr>
                <w:szCs w:val="24"/>
                <w:lang w:val="lv-LV"/>
              </w:rPr>
              <w:t>,</w:t>
            </w:r>
            <w:r w:rsidRPr="00380DA5">
              <w:rPr>
                <w:szCs w:val="24"/>
                <w:lang w:val="lv-LV"/>
              </w:rPr>
              <w:t xml:space="preserve"> </w:t>
            </w:r>
            <w:r w:rsidR="00835AEF">
              <w:rPr>
                <w:szCs w:val="24"/>
                <w:lang w:val="lv-LV"/>
              </w:rPr>
              <w:t>Ministru kabineta noteikumu projekta īstenošanas rezultātā tiks</w:t>
            </w:r>
            <w:r w:rsidRPr="00380DA5">
              <w:rPr>
                <w:szCs w:val="24"/>
                <w:lang w:val="lv-LV"/>
              </w:rPr>
              <w:t xml:space="preserve"> veicināt</w:t>
            </w:r>
            <w:r w:rsidR="00835AEF">
              <w:rPr>
                <w:szCs w:val="24"/>
                <w:lang w:val="lv-LV"/>
              </w:rPr>
              <w:t>a</w:t>
            </w:r>
            <w:r w:rsidRPr="00380DA5">
              <w:rPr>
                <w:szCs w:val="24"/>
                <w:lang w:val="lv-LV"/>
              </w:rPr>
              <w:t xml:space="preserve"> inovācijas darbību attīstīšanu, zināšanu </w:t>
            </w:r>
            <w:proofErr w:type="spellStart"/>
            <w:r w:rsidRPr="00380DA5">
              <w:rPr>
                <w:szCs w:val="24"/>
                <w:lang w:val="lv-LV"/>
              </w:rPr>
              <w:t>komercializācij</w:t>
            </w:r>
            <w:r w:rsidR="00835AEF">
              <w:rPr>
                <w:szCs w:val="24"/>
                <w:lang w:val="lv-LV"/>
              </w:rPr>
              <w:t>a</w:t>
            </w:r>
            <w:proofErr w:type="spellEnd"/>
            <w:r w:rsidRPr="00380DA5">
              <w:rPr>
                <w:szCs w:val="24"/>
                <w:lang w:val="lv-LV"/>
              </w:rPr>
              <w:t>, tehnoloģiju pārnes</w:t>
            </w:r>
            <w:r w:rsidR="00835AEF">
              <w:rPr>
                <w:szCs w:val="24"/>
                <w:lang w:val="lv-LV"/>
              </w:rPr>
              <w:t>e</w:t>
            </w:r>
            <w:r w:rsidR="008041BF">
              <w:rPr>
                <w:szCs w:val="24"/>
                <w:lang w:val="lv-LV"/>
              </w:rPr>
              <w:t xml:space="preserve"> un </w:t>
            </w:r>
            <w:r w:rsidR="00646F3A">
              <w:rPr>
                <w:szCs w:val="24"/>
                <w:lang w:val="lv-LV"/>
              </w:rPr>
              <w:t>komersantu</w:t>
            </w:r>
            <w:r w:rsidR="008041BF">
              <w:rPr>
                <w:szCs w:val="24"/>
                <w:lang w:val="lv-LV"/>
              </w:rPr>
              <w:t xml:space="preserve"> konkurētspēj</w:t>
            </w:r>
            <w:r w:rsidR="00044983">
              <w:rPr>
                <w:szCs w:val="24"/>
                <w:lang w:val="lv-LV"/>
              </w:rPr>
              <w:t>a</w:t>
            </w:r>
            <w:r w:rsidR="00B81DAD">
              <w:rPr>
                <w:szCs w:val="24"/>
                <w:lang w:val="lv-LV"/>
              </w:rPr>
              <w:t>.</w:t>
            </w:r>
            <w:r w:rsidRPr="00380DA5">
              <w:rPr>
                <w:szCs w:val="24"/>
                <w:lang w:val="lv-LV"/>
              </w:rPr>
              <w:t xml:space="preserve"> </w:t>
            </w:r>
          </w:p>
        </w:tc>
      </w:tr>
      <w:tr w:rsidR="00457DC2" w:rsidRPr="00380DA5" w:rsidTr="008E41BA">
        <w:trPr>
          <w:trHeight w:val="709"/>
        </w:trPr>
        <w:tc>
          <w:tcPr>
            <w:tcW w:w="524"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lastRenderedPageBreak/>
              <w:t> 3.</w:t>
            </w:r>
          </w:p>
        </w:tc>
        <w:tc>
          <w:tcPr>
            <w:tcW w:w="2595"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Saistītie politikas ietekmes novērtējumi un pētījumi</w:t>
            </w:r>
          </w:p>
        </w:tc>
        <w:tc>
          <w:tcPr>
            <w:tcW w:w="5982"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rsidP="0025234B">
            <w:pPr>
              <w:ind w:firstLine="425"/>
              <w:jc w:val="both"/>
              <w:rPr>
                <w:szCs w:val="24"/>
                <w:lang w:val="lv-LV"/>
              </w:rPr>
            </w:pPr>
            <w:r w:rsidRPr="00380DA5">
              <w:rPr>
                <w:szCs w:val="24"/>
                <w:lang w:val="lv-LV"/>
              </w:rPr>
              <w:t>Projekts šo jomu neskar.</w:t>
            </w:r>
          </w:p>
        </w:tc>
      </w:tr>
      <w:tr w:rsidR="00457DC2" w:rsidRPr="00C040C4" w:rsidTr="008E41BA">
        <w:trPr>
          <w:trHeight w:val="501"/>
        </w:trPr>
        <w:tc>
          <w:tcPr>
            <w:tcW w:w="524"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4.</w:t>
            </w:r>
          </w:p>
        </w:tc>
        <w:tc>
          <w:tcPr>
            <w:tcW w:w="2595"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Tiesiskā regulējuma mērķis un būtība</w:t>
            </w:r>
          </w:p>
        </w:tc>
        <w:tc>
          <w:tcPr>
            <w:tcW w:w="5982" w:type="dxa"/>
            <w:tcBorders>
              <w:top w:val="thickThinLargeGap" w:sz="6" w:space="0" w:color="C0C0C0"/>
              <w:left w:val="thickThinLargeGap" w:sz="6" w:space="0" w:color="C0C0C0"/>
              <w:bottom w:val="thickThinLargeGap" w:sz="6" w:space="0" w:color="C0C0C0"/>
              <w:right w:val="thickThinLargeGap" w:sz="6" w:space="0" w:color="C0C0C0"/>
            </w:tcBorders>
            <w:hideMark/>
          </w:tcPr>
          <w:p w:rsidR="00F52228" w:rsidRPr="00C071BE" w:rsidRDefault="00835AEF" w:rsidP="0025234B">
            <w:pPr>
              <w:tabs>
                <w:tab w:val="left" w:pos="835"/>
              </w:tabs>
              <w:ind w:firstLine="425"/>
              <w:jc w:val="both"/>
              <w:rPr>
                <w:szCs w:val="24"/>
                <w:lang w:val="lv-LV"/>
              </w:rPr>
            </w:pPr>
            <w:r w:rsidRPr="00C071BE">
              <w:rPr>
                <w:szCs w:val="24"/>
                <w:lang w:val="lv-LV"/>
              </w:rPr>
              <w:t xml:space="preserve">Ministru kabineta noteikumu </w:t>
            </w:r>
            <w:r w:rsidR="00F52228" w:rsidRPr="00C071BE">
              <w:rPr>
                <w:szCs w:val="24"/>
                <w:lang w:val="lv-LV"/>
              </w:rPr>
              <w:t xml:space="preserve">projekts paredz </w:t>
            </w:r>
            <w:r w:rsidRPr="00C071BE">
              <w:rPr>
                <w:szCs w:val="24"/>
                <w:lang w:val="lv-LV"/>
              </w:rPr>
              <w:t>īstenošanas nosacījumus nacionālā līmenī p</w:t>
            </w:r>
            <w:r w:rsidR="00F52228" w:rsidRPr="00C071BE">
              <w:rPr>
                <w:szCs w:val="24"/>
                <w:lang w:val="lv-LV"/>
              </w:rPr>
              <w:t>rogramma</w:t>
            </w:r>
            <w:r w:rsidRPr="00C071BE">
              <w:rPr>
                <w:szCs w:val="24"/>
                <w:lang w:val="lv-LV"/>
              </w:rPr>
              <w:t>i</w:t>
            </w:r>
            <w:r w:rsidR="00F52228" w:rsidRPr="00C071BE">
              <w:rPr>
                <w:szCs w:val="24"/>
                <w:lang w:val="lv-LV"/>
              </w:rPr>
              <w:t xml:space="preserve"> </w:t>
            </w:r>
            <w:r w:rsidR="00033580" w:rsidRPr="00C071BE">
              <w:rPr>
                <w:szCs w:val="24"/>
                <w:lang w:val="lv-LV"/>
              </w:rPr>
              <w:t>„Inovācijas „zaļās” ražošanas jomā” (turpmāk– Programma)</w:t>
            </w:r>
            <w:r w:rsidR="00D74A1E" w:rsidRPr="00C071BE">
              <w:rPr>
                <w:szCs w:val="24"/>
                <w:lang w:val="lv-LV"/>
              </w:rPr>
              <w:t>.</w:t>
            </w:r>
            <w:r w:rsidR="00033580" w:rsidRPr="00C071BE">
              <w:rPr>
                <w:szCs w:val="24"/>
                <w:lang w:val="lv-LV"/>
              </w:rPr>
              <w:t xml:space="preserve"> </w:t>
            </w:r>
          </w:p>
          <w:p w:rsidR="00B7701C" w:rsidRPr="00C071BE" w:rsidRDefault="00835AEF" w:rsidP="00B7701C">
            <w:pPr>
              <w:ind w:firstLine="425"/>
              <w:jc w:val="both"/>
              <w:rPr>
                <w:color w:val="000000"/>
                <w:szCs w:val="24"/>
                <w:lang w:val="lv-LV"/>
              </w:rPr>
            </w:pPr>
            <w:r w:rsidRPr="00C071BE">
              <w:rPr>
                <w:szCs w:val="24"/>
                <w:lang w:val="lv-LV"/>
              </w:rPr>
              <w:t xml:space="preserve">Ministru kabineta noteikumu projekts paredz </w:t>
            </w:r>
            <w:r w:rsidR="00B7701C" w:rsidRPr="00C071BE">
              <w:rPr>
                <w:szCs w:val="24"/>
                <w:lang w:val="lv-LV"/>
              </w:rPr>
              <w:t>vien</w:t>
            </w:r>
            <w:r w:rsidR="00044983" w:rsidRPr="00C071BE">
              <w:rPr>
                <w:szCs w:val="24"/>
                <w:lang w:val="lv-LV"/>
              </w:rPr>
              <w:t>a</w:t>
            </w:r>
            <w:r w:rsidR="00B7701C" w:rsidRPr="00C071BE">
              <w:rPr>
                <w:szCs w:val="24"/>
                <w:lang w:val="lv-LV"/>
              </w:rPr>
              <w:t xml:space="preserve"> iepriekš noteikt</w:t>
            </w:r>
            <w:r w:rsidR="00044983" w:rsidRPr="00C071BE">
              <w:rPr>
                <w:szCs w:val="24"/>
                <w:lang w:val="lv-LV"/>
              </w:rPr>
              <w:t>ā</w:t>
            </w:r>
            <w:r w:rsidR="00B7701C" w:rsidRPr="00C071BE">
              <w:rPr>
                <w:szCs w:val="24"/>
                <w:lang w:val="lv-LV"/>
              </w:rPr>
              <w:t xml:space="preserve"> projekt</w:t>
            </w:r>
            <w:r w:rsidRPr="00C071BE">
              <w:rPr>
                <w:szCs w:val="24"/>
                <w:lang w:val="lv-LV"/>
              </w:rPr>
              <w:t>a</w:t>
            </w:r>
            <w:r w:rsidR="00B7701C" w:rsidRPr="00C071BE">
              <w:rPr>
                <w:szCs w:val="24"/>
                <w:lang w:val="lv-LV"/>
              </w:rPr>
              <w:t xml:space="preserve"> „</w:t>
            </w:r>
            <w:r w:rsidRPr="00C071BE">
              <w:rPr>
                <w:szCs w:val="24"/>
                <w:lang w:val="lv-LV"/>
              </w:rPr>
              <w:t xml:space="preserve">Zaļo </w:t>
            </w:r>
            <w:r w:rsidR="00B7701C" w:rsidRPr="00C071BE">
              <w:rPr>
                <w:szCs w:val="24"/>
                <w:lang w:val="lv-LV"/>
              </w:rPr>
              <w:t>Tehnoloģiju inkubators”, neliela apjoma grantu shēma</w:t>
            </w:r>
            <w:r w:rsidRPr="00C071BE">
              <w:rPr>
                <w:szCs w:val="24"/>
                <w:lang w:val="lv-LV"/>
              </w:rPr>
              <w:t>s</w:t>
            </w:r>
            <w:r w:rsidR="00B7701C" w:rsidRPr="00C071BE">
              <w:rPr>
                <w:szCs w:val="24"/>
                <w:lang w:val="lv-LV"/>
              </w:rPr>
              <w:t xml:space="preserve"> un </w:t>
            </w:r>
            <w:r w:rsidRPr="00C071BE">
              <w:rPr>
                <w:szCs w:val="24"/>
                <w:lang w:val="lv-LV"/>
              </w:rPr>
              <w:t xml:space="preserve">programmas </w:t>
            </w:r>
            <w:r w:rsidR="009E2CD2" w:rsidRPr="00C071BE">
              <w:rPr>
                <w:szCs w:val="24"/>
                <w:lang w:val="lv-LV"/>
              </w:rPr>
              <w:t xml:space="preserve">divpusējās sadarbības </w:t>
            </w:r>
            <w:r w:rsidRPr="00C071BE">
              <w:rPr>
                <w:szCs w:val="24"/>
                <w:lang w:val="lv-LV"/>
              </w:rPr>
              <w:t>fonda īstenošanas kārtību, kā</w:t>
            </w:r>
            <w:r w:rsidR="00044983" w:rsidRPr="00C071BE">
              <w:rPr>
                <w:szCs w:val="24"/>
                <w:lang w:val="lv-LV"/>
              </w:rPr>
              <w:t xml:space="preserve"> </w:t>
            </w:r>
            <w:r w:rsidRPr="00C071BE">
              <w:rPr>
                <w:szCs w:val="24"/>
                <w:lang w:val="lv-LV"/>
              </w:rPr>
              <w:t>arī vispārīgos progr</w:t>
            </w:r>
            <w:r w:rsidR="00044983" w:rsidRPr="00C071BE">
              <w:rPr>
                <w:szCs w:val="24"/>
                <w:lang w:val="lv-LV"/>
              </w:rPr>
              <w:t>a</w:t>
            </w:r>
            <w:r w:rsidRPr="00C071BE">
              <w:rPr>
                <w:szCs w:val="24"/>
                <w:lang w:val="lv-LV"/>
              </w:rPr>
              <w:t>mmas ieviešanas nosacījumus (izņemot atklāta projektu konkursa ieviešanu)</w:t>
            </w:r>
            <w:r w:rsidR="00B7701C" w:rsidRPr="00C071BE">
              <w:rPr>
                <w:szCs w:val="24"/>
                <w:lang w:val="lv-LV"/>
              </w:rPr>
              <w:t>.</w:t>
            </w:r>
          </w:p>
          <w:p w:rsidR="00F55D98" w:rsidRPr="00C071BE" w:rsidRDefault="00B7701C" w:rsidP="00B7701C">
            <w:pPr>
              <w:ind w:firstLine="425"/>
              <w:jc w:val="both"/>
              <w:rPr>
                <w:color w:val="000000"/>
                <w:szCs w:val="24"/>
                <w:lang w:val="lv-LV"/>
              </w:rPr>
            </w:pPr>
            <w:r w:rsidRPr="00C071BE">
              <w:rPr>
                <w:color w:val="000000"/>
                <w:szCs w:val="24"/>
                <w:lang w:val="lv-LV"/>
              </w:rPr>
              <w:t>Neliela apjoma grantu shēm</w:t>
            </w:r>
            <w:r w:rsidR="00F55D98" w:rsidRPr="00C071BE">
              <w:rPr>
                <w:color w:val="000000"/>
                <w:szCs w:val="24"/>
                <w:lang w:val="lv-LV"/>
              </w:rPr>
              <w:t xml:space="preserve">as ietvaros ir paredzēts sniegt </w:t>
            </w:r>
            <w:r w:rsidRPr="00C071BE">
              <w:rPr>
                <w:color w:val="000000"/>
                <w:szCs w:val="24"/>
                <w:lang w:val="lv-LV"/>
              </w:rPr>
              <w:t xml:space="preserve">inkubācijas atbalstu. </w:t>
            </w:r>
          </w:p>
          <w:p w:rsidR="00B7701C" w:rsidRPr="00C071BE" w:rsidRDefault="00F55D98" w:rsidP="00B7701C">
            <w:pPr>
              <w:ind w:firstLine="425"/>
              <w:jc w:val="both"/>
              <w:rPr>
                <w:color w:val="000000"/>
                <w:szCs w:val="24"/>
                <w:lang w:val="lv-LV"/>
              </w:rPr>
            </w:pPr>
            <w:r w:rsidRPr="00C071BE">
              <w:rPr>
                <w:color w:val="000000"/>
                <w:szCs w:val="24"/>
                <w:lang w:val="lv-LV"/>
              </w:rPr>
              <w:t xml:space="preserve">Papildus inkubācijas atbalstam plānots sniegt arī </w:t>
            </w:r>
            <w:proofErr w:type="spellStart"/>
            <w:r w:rsidRPr="00C071BE">
              <w:rPr>
                <w:color w:val="000000"/>
                <w:szCs w:val="24"/>
                <w:lang w:val="lv-LV"/>
              </w:rPr>
              <w:t>p</w:t>
            </w:r>
            <w:r w:rsidR="00B7701C" w:rsidRPr="00C071BE">
              <w:rPr>
                <w:color w:val="000000"/>
                <w:szCs w:val="24"/>
                <w:lang w:val="lv-LV"/>
              </w:rPr>
              <w:t>irmsinkubācijas</w:t>
            </w:r>
            <w:proofErr w:type="spellEnd"/>
            <w:r w:rsidR="00B7701C" w:rsidRPr="00C071BE">
              <w:rPr>
                <w:color w:val="000000"/>
                <w:szCs w:val="24"/>
                <w:lang w:val="lv-LV"/>
              </w:rPr>
              <w:t xml:space="preserve"> atbalst</w:t>
            </w:r>
            <w:r w:rsidRPr="00C071BE">
              <w:rPr>
                <w:color w:val="000000"/>
                <w:szCs w:val="24"/>
                <w:lang w:val="lv-LV"/>
              </w:rPr>
              <w:t>u</w:t>
            </w:r>
            <w:r w:rsidR="00B7701C" w:rsidRPr="00C071BE">
              <w:rPr>
                <w:color w:val="000000"/>
                <w:szCs w:val="24"/>
                <w:lang w:val="lv-LV"/>
              </w:rPr>
              <w:t xml:space="preserve">, lai nodrošinātu iespēju izvērtēt biznesa idejas dzīvotspēju pirms turpmāku investīciju veikšanas. </w:t>
            </w:r>
            <w:proofErr w:type="spellStart"/>
            <w:r w:rsidR="00B7701C" w:rsidRPr="00C071BE">
              <w:rPr>
                <w:color w:val="000000"/>
                <w:szCs w:val="24"/>
                <w:lang w:val="lv-LV"/>
              </w:rPr>
              <w:t>Pirmsinkubācijas</w:t>
            </w:r>
            <w:proofErr w:type="spellEnd"/>
            <w:r w:rsidR="00B7701C" w:rsidRPr="00C071BE">
              <w:rPr>
                <w:color w:val="000000"/>
                <w:szCs w:val="24"/>
                <w:lang w:val="lv-LV"/>
              </w:rPr>
              <w:t xml:space="preserve"> atbalsts </w:t>
            </w:r>
            <w:r w:rsidR="00044983" w:rsidRPr="00C071BE">
              <w:rPr>
                <w:color w:val="000000"/>
                <w:szCs w:val="24"/>
                <w:lang w:val="lv-LV"/>
              </w:rPr>
              <w:t>p</w:t>
            </w:r>
            <w:r w:rsidR="00B7701C" w:rsidRPr="00C071BE">
              <w:rPr>
                <w:color w:val="000000"/>
                <w:szCs w:val="24"/>
                <w:lang w:val="lv-LV"/>
              </w:rPr>
              <w:t xml:space="preserve">rogrammas ietvaros sniegs iespēju novērtēt biznesa potenciālu un izstrādāt pilnīgu biznesa plānu. Apzinoties savas stiprās puses un iespēju robežas, jaundibinātie komersanti var palielināt savu dzīvotspēju. </w:t>
            </w:r>
          </w:p>
          <w:p w:rsidR="00B7701C" w:rsidRPr="00C071BE" w:rsidRDefault="00B7701C" w:rsidP="00B7701C">
            <w:pPr>
              <w:ind w:firstLine="425"/>
              <w:jc w:val="both"/>
              <w:rPr>
                <w:szCs w:val="24"/>
                <w:lang w:val="lv-LV"/>
              </w:rPr>
            </w:pPr>
            <w:r w:rsidRPr="00C071BE">
              <w:rPr>
                <w:szCs w:val="24"/>
                <w:lang w:val="lv-LV"/>
              </w:rPr>
              <w:t>Inkubācijas atbalsts nodrošinās komersantiem iespēju saņemt tiem nepieciešamos pakalpojumus un atbalstu algas segšanai komersanta vadības darbiniekiem līdz to gatavībai pašiem pilnvērtīgi konkurēt tirgū un pretendēt uz tirgū pieejamiem finansējuma veidiem savas darbības finansēšanai.</w:t>
            </w:r>
          </w:p>
          <w:p w:rsidR="008E41BA" w:rsidRPr="00C071BE" w:rsidRDefault="00D44A70" w:rsidP="009E2CD2">
            <w:pPr>
              <w:tabs>
                <w:tab w:val="left" w:pos="835"/>
              </w:tabs>
              <w:ind w:firstLine="425"/>
              <w:jc w:val="both"/>
              <w:rPr>
                <w:szCs w:val="24"/>
                <w:lang w:val="lv-LV"/>
              </w:rPr>
            </w:pPr>
            <w:r w:rsidRPr="00C071BE">
              <w:rPr>
                <w:szCs w:val="24"/>
                <w:lang w:val="lv-LV"/>
              </w:rPr>
              <w:t xml:space="preserve">Programmas ietvaros kopējais pieejamais finansējums ir </w:t>
            </w:r>
            <w:proofErr w:type="spellStart"/>
            <w:r w:rsidR="007E4FD3" w:rsidRPr="00C071BE">
              <w:rPr>
                <w:i/>
                <w:szCs w:val="24"/>
                <w:lang w:val="lv-LV"/>
              </w:rPr>
              <w:t>euro</w:t>
            </w:r>
            <w:proofErr w:type="spellEnd"/>
            <w:r w:rsidR="007E4FD3" w:rsidRPr="00C071BE">
              <w:rPr>
                <w:szCs w:val="24"/>
                <w:lang w:val="lv-LV"/>
              </w:rPr>
              <w:t xml:space="preserve"> 12 586 667. Programmas ietvaros </w:t>
            </w:r>
            <w:r w:rsidR="009E2CD2" w:rsidRPr="00C071BE">
              <w:rPr>
                <w:szCs w:val="24"/>
                <w:lang w:val="lv-LV"/>
              </w:rPr>
              <w:t>divpusējās sadarbības</w:t>
            </w:r>
            <w:r w:rsidR="007E4FD3" w:rsidRPr="00C071BE">
              <w:rPr>
                <w:szCs w:val="24"/>
                <w:lang w:val="lv-LV"/>
              </w:rPr>
              <w:t xml:space="preserve"> fonda ietvaros</w:t>
            </w:r>
            <w:r w:rsidRPr="00C071BE">
              <w:rPr>
                <w:szCs w:val="24"/>
                <w:lang w:val="lv-LV"/>
              </w:rPr>
              <w:t xml:space="preserve"> </w:t>
            </w:r>
            <w:r w:rsidR="007E4FD3" w:rsidRPr="00C071BE">
              <w:rPr>
                <w:szCs w:val="24"/>
                <w:lang w:val="lv-LV"/>
              </w:rPr>
              <w:t xml:space="preserve">paredzēta sadarbība </w:t>
            </w:r>
            <w:r w:rsidRPr="00C071BE">
              <w:rPr>
                <w:szCs w:val="24"/>
                <w:lang w:val="lv-LV"/>
              </w:rPr>
              <w:t xml:space="preserve">ar Norvēģijas institūcijām un </w:t>
            </w:r>
            <w:r w:rsidR="001F7874" w:rsidRPr="00C071BE">
              <w:rPr>
                <w:szCs w:val="24"/>
                <w:lang w:val="lv-LV"/>
              </w:rPr>
              <w:t>komersantiem</w:t>
            </w:r>
            <w:r w:rsidRPr="00C071BE">
              <w:rPr>
                <w:szCs w:val="24"/>
                <w:lang w:val="lv-LV"/>
              </w:rPr>
              <w:t xml:space="preserve"> un šim mērķiem </w:t>
            </w:r>
            <w:r w:rsidR="007E4FD3" w:rsidRPr="00C071BE">
              <w:rPr>
                <w:szCs w:val="24"/>
                <w:lang w:val="lv-LV"/>
              </w:rPr>
              <w:t xml:space="preserve">ir atvēlēti </w:t>
            </w:r>
            <w:proofErr w:type="spellStart"/>
            <w:r w:rsidR="007E4FD3" w:rsidRPr="00C071BE">
              <w:rPr>
                <w:i/>
                <w:szCs w:val="24"/>
                <w:lang w:val="lv-LV"/>
              </w:rPr>
              <w:t>euro</w:t>
            </w:r>
            <w:proofErr w:type="spellEnd"/>
            <w:r w:rsidR="007E4FD3" w:rsidRPr="00C071BE">
              <w:rPr>
                <w:i/>
                <w:szCs w:val="24"/>
                <w:lang w:val="lv-LV"/>
              </w:rPr>
              <w:t xml:space="preserve"> </w:t>
            </w:r>
            <w:r w:rsidR="008A5714" w:rsidRPr="00C071BE">
              <w:rPr>
                <w:szCs w:val="24"/>
                <w:lang w:val="lv-LV"/>
              </w:rPr>
              <w:t>294 000</w:t>
            </w:r>
            <w:r w:rsidRPr="00C071BE">
              <w:rPr>
                <w:szCs w:val="24"/>
                <w:lang w:val="lv-LV"/>
              </w:rPr>
              <w:t xml:space="preserve"> no </w:t>
            </w:r>
            <w:r w:rsidR="00044983" w:rsidRPr="00C071BE">
              <w:rPr>
                <w:szCs w:val="24"/>
                <w:lang w:val="lv-LV"/>
              </w:rPr>
              <w:t>p</w:t>
            </w:r>
            <w:r w:rsidRPr="00C071BE">
              <w:rPr>
                <w:szCs w:val="24"/>
                <w:lang w:val="lv-LV"/>
              </w:rPr>
              <w:t>rogrammas kopējā budžeta.</w:t>
            </w:r>
          </w:p>
          <w:p w:rsidR="00B20A61" w:rsidRPr="00C071BE" w:rsidRDefault="008E41BA" w:rsidP="009E2CD2">
            <w:pPr>
              <w:tabs>
                <w:tab w:val="left" w:pos="835"/>
              </w:tabs>
              <w:ind w:firstLine="425"/>
              <w:jc w:val="both"/>
              <w:rPr>
                <w:szCs w:val="24"/>
                <w:lang w:val="lv-LV"/>
              </w:rPr>
            </w:pPr>
            <w:r w:rsidRPr="00C071BE">
              <w:rPr>
                <w:szCs w:val="24"/>
                <w:lang w:val="lv-LV"/>
              </w:rPr>
              <w:t xml:space="preserve">Pēc programmas iesnieguma apstiprināšanas </w:t>
            </w:r>
            <w:proofErr w:type="spellStart"/>
            <w:r w:rsidRPr="00C071BE">
              <w:rPr>
                <w:szCs w:val="24"/>
                <w:lang w:val="lv-LV"/>
              </w:rPr>
              <w:t>donorvalstī</w:t>
            </w:r>
            <w:proofErr w:type="spellEnd"/>
            <w:r w:rsidRPr="00C071BE">
              <w:rPr>
                <w:szCs w:val="24"/>
                <w:lang w:val="lv-LV"/>
              </w:rPr>
              <w:t xml:space="preserve"> ar Norvēģijas Ārlietu ministrijas 2012</w:t>
            </w:r>
            <w:r w:rsidR="00E241CB" w:rsidRPr="00C071BE">
              <w:rPr>
                <w:szCs w:val="24"/>
                <w:lang w:val="lv-LV"/>
              </w:rPr>
              <w:t xml:space="preserve">.gada 20.augusta </w:t>
            </w:r>
            <w:r w:rsidRPr="00C071BE">
              <w:rPr>
                <w:szCs w:val="24"/>
                <w:lang w:val="lv-LV"/>
              </w:rPr>
              <w:t>lēmumu līdz Ministru kabineta noteikumu projekta „</w:t>
            </w:r>
            <w:r w:rsidR="00E241CB" w:rsidRPr="00C071BE">
              <w:rPr>
                <w:szCs w:val="24"/>
                <w:lang w:val="lv-LV"/>
              </w:rPr>
              <w:t>P</w:t>
            </w:r>
            <w:r w:rsidRPr="00C071BE">
              <w:rPr>
                <w:szCs w:val="24"/>
                <w:lang w:val="lv-LV"/>
              </w:rPr>
              <w:t xml:space="preserve">rogrammas „Inovācijas „zaļās” ražošanas jomā” </w:t>
            </w:r>
            <w:r w:rsidR="00E241CB" w:rsidRPr="00C071BE">
              <w:rPr>
                <w:szCs w:val="24"/>
                <w:lang w:val="lv-LV"/>
              </w:rPr>
              <w:t>īstenošanas</w:t>
            </w:r>
            <w:r w:rsidRPr="00C071BE">
              <w:rPr>
                <w:szCs w:val="24"/>
                <w:lang w:val="lv-LV"/>
              </w:rPr>
              <w:t xml:space="preserve"> kārtība” izstrādei ar </w:t>
            </w:r>
            <w:proofErr w:type="spellStart"/>
            <w:r w:rsidRPr="00C071BE">
              <w:rPr>
                <w:szCs w:val="24"/>
                <w:lang w:val="lv-LV"/>
              </w:rPr>
              <w:t>donorvalsti</w:t>
            </w:r>
            <w:proofErr w:type="spellEnd"/>
            <w:r w:rsidRPr="00C071BE">
              <w:rPr>
                <w:szCs w:val="24"/>
                <w:lang w:val="lv-LV"/>
              </w:rPr>
              <w:t xml:space="preserve"> ir </w:t>
            </w:r>
            <w:r w:rsidR="00F27DD8" w:rsidRPr="00C071BE">
              <w:rPr>
                <w:szCs w:val="24"/>
                <w:lang w:val="lv-LV"/>
              </w:rPr>
              <w:t>veiktas</w:t>
            </w:r>
            <w:r w:rsidRPr="00C071BE">
              <w:rPr>
                <w:szCs w:val="24"/>
                <w:lang w:val="lv-LV"/>
              </w:rPr>
              <w:t xml:space="preserve"> šādas izmaiņas programmas iesniegumā: </w:t>
            </w:r>
          </w:p>
          <w:p w:rsidR="008E41BA" w:rsidRPr="00C071BE" w:rsidRDefault="008E41BA" w:rsidP="008928B7">
            <w:pPr>
              <w:pStyle w:val="ListParagraph"/>
              <w:numPr>
                <w:ilvl w:val="0"/>
                <w:numId w:val="2"/>
              </w:numPr>
              <w:tabs>
                <w:tab w:val="left" w:pos="835"/>
              </w:tabs>
              <w:jc w:val="both"/>
              <w:rPr>
                <w:szCs w:val="24"/>
                <w:lang w:val="lv-LV"/>
              </w:rPr>
            </w:pPr>
            <w:r w:rsidRPr="00C071BE">
              <w:rPr>
                <w:szCs w:val="24"/>
                <w:lang w:val="lv-LV"/>
              </w:rPr>
              <w:t>Veikta iekšējā finansējuma pārdale iepriekš noteiktā projekta „Zaļo Tehnoloģiju inkubators” ietvaros</w:t>
            </w:r>
            <w:r w:rsidR="008928B7" w:rsidRPr="00C071BE">
              <w:rPr>
                <w:szCs w:val="24"/>
                <w:lang w:val="lv-LV"/>
              </w:rPr>
              <w:t>, paredzot šādu iekšējo finansējuma sadalījumu iepriekš noteiktā projekta ietvaros:</w:t>
            </w:r>
          </w:p>
          <w:p w:rsidR="008928B7" w:rsidRPr="00C071BE" w:rsidRDefault="008928B7" w:rsidP="003D6706">
            <w:pPr>
              <w:pStyle w:val="ListParagraph"/>
              <w:numPr>
                <w:ilvl w:val="1"/>
                <w:numId w:val="3"/>
              </w:numPr>
              <w:tabs>
                <w:tab w:val="left" w:pos="835"/>
              </w:tabs>
              <w:jc w:val="both"/>
              <w:rPr>
                <w:szCs w:val="24"/>
                <w:lang w:val="lv-LV"/>
              </w:rPr>
            </w:pPr>
            <w:r w:rsidRPr="00C071BE">
              <w:rPr>
                <w:szCs w:val="24"/>
                <w:lang w:val="lv-LV"/>
              </w:rPr>
              <w:t xml:space="preserve">Zaļo Tehnoloģiju inkubatora administratīvās un vadības izmaksas- </w:t>
            </w:r>
            <w:proofErr w:type="spellStart"/>
            <w:r w:rsidRPr="00C071BE">
              <w:rPr>
                <w:i/>
                <w:szCs w:val="24"/>
                <w:lang w:val="lv-LV"/>
              </w:rPr>
              <w:t>euro</w:t>
            </w:r>
            <w:proofErr w:type="spellEnd"/>
            <w:r w:rsidRPr="00C071BE">
              <w:rPr>
                <w:i/>
                <w:szCs w:val="24"/>
                <w:lang w:val="lv-LV"/>
              </w:rPr>
              <w:t xml:space="preserve"> </w:t>
            </w:r>
            <w:r w:rsidRPr="00C071BE">
              <w:rPr>
                <w:szCs w:val="24"/>
                <w:lang w:val="lv-LV"/>
              </w:rPr>
              <w:t>200</w:t>
            </w:r>
            <w:r w:rsidR="003D6706" w:rsidRPr="00C071BE">
              <w:rPr>
                <w:szCs w:val="24"/>
                <w:lang w:val="lv-LV"/>
              </w:rPr>
              <w:t> </w:t>
            </w:r>
            <w:r w:rsidRPr="00C071BE">
              <w:rPr>
                <w:szCs w:val="24"/>
                <w:lang w:val="lv-LV"/>
              </w:rPr>
              <w:t>000</w:t>
            </w:r>
            <w:r w:rsidR="003D6706" w:rsidRPr="00C071BE">
              <w:rPr>
                <w:szCs w:val="24"/>
                <w:lang w:val="lv-LV"/>
              </w:rPr>
              <w:t xml:space="preserve"> ekvivalents latos</w:t>
            </w:r>
            <w:r w:rsidRPr="00C071BE">
              <w:rPr>
                <w:szCs w:val="24"/>
                <w:lang w:val="lv-LV"/>
              </w:rPr>
              <w:t>;</w:t>
            </w:r>
          </w:p>
          <w:p w:rsidR="008928B7" w:rsidRPr="00C071BE" w:rsidRDefault="008928B7" w:rsidP="003D6706">
            <w:pPr>
              <w:pStyle w:val="ListParagraph"/>
              <w:numPr>
                <w:ilvl w:val="1"/>
                <w:numId w:val="3"/>
              </w:numPr>
              <w:tabs>
                <w:tab w:val="left" w:pos="835"/>
              </w:tabs>
              <w:jc w:val="both"/>
              <w:rPr>
                <w:szCs w:val="24"/>
                <w:lang w:val="lv-LV"/>
              </w:rPr>
            </w:pPr>
            <w:proofErr w:type="spellStart"/>
            <w:r w:rsidRPr="00C071BE">
              <w:rPr>
                <w:szCs w:val="24"/>
                <w:lang w:val="lv-LV"/>
              </w:rPr>
              <w:lastRenderedPageBreak/>
              <w:t>Pirmsinkubācijas</w:t>
            </w:r>
            <w:proofErr w:type="spellEnd"/>
            <w:r w:rsidRPr="00C071BE">
              <w:rPr>
                <w:szCs w:val="24"/>
                <w:lang w:val="lv-LV"/>
              </w:rPr>
              <w:t xml:space="preserve"> fonda izmaksas- </w:t>
            </w:r>
            <w:proofErr w:type="spellStart"/>
            <w:r w:rsidRPr="00C071BE">
              <w:rPr>
                <w:i/>
                <w:szCs w:val="24"/>
                <w:lang w:val="lv-LV"/>
              </w:rPr>
              <w:t>euro</w:t>
            </w:r>
            <w:proofErr w:type="spellEnd"/>
            <w:r w:rsidRPr="00C071BE">
              <w:rPr>
                <w:szCs w:val="24"/>
                <w:lang w:val="lv-LV"/>
              </w:rPr>
              <w:t xml:space="preserve"> 650 000</w:t>
            </w:r>
            <w:r w:rsidR="003D6706" w:rsidRPr="00C071BE">
              <w:t xml:space="preserve"> </w:t>
            </w:r>
            <w:r w:rsidR="003D6706" w:rsidRPr="00C071BE">
              <w:rPr>
                <w:szCs w:val="24"/>
                <w:lang w:val="lv-LV"/>
              </w:rPr>
              <w:t>ekvivalents latos</w:t>
            </w:r>
            <w:r w:rsidRPr="00C071BE">
              <w:rPr>
                <w:szCs w:val="24"/>
                <w:lang w:val="lv-LV"/>
              </w:rPr>
              <w:t>;</w:t>
            </w:r>
          </w:p>
          <w:p w:rsidR="008928B7" w:rsidRPr="00C071BE" w:rsidRDefault="008928B7" w:rsidP="003D6706">
            <w:pPr>
              <w:pStyle w:val="ListParagraph"/>
              <w:numPr>
                <w:ilvl w:val="1"/>
                <w:numId w:val="3"/>
              </w:numPr>
              <w:tabs>
                <w:tab w:val="left" w:pos="835"/>
              </w:tabs>
              <w:jc w:val="both"/>
              <w:rPr>
                <w:szCs w:val="24"/>
                <w:lang w:val="lv-LV"/>
              </w:rPr>
            </w:pPr>
            <w:r w:rsidRPr="00C071BE">
              <w:rPr>
                <w:szCs w:val="24"/>
                <w:lang w:val="lv-LV"/>
              </w:rPr>
              <w:t xml:space="preserve">Norvēģijas industriālās attīstības korporācijas SIVA ekspertu fonds </w:t>
            </w:r>
            <w:proofErr w:type="spellStart"/>
            <w:r w:rsidRPr="00C071BE">
              <w:rPr>
                <w:i/>
                <w:szCs w:val="24"/>
                <w:lang w:val="lv-LV"/>
              </w:rPr>
              <w:t>euro</w:t>
            </w:r>
            <w:proofErr w:type="spellEnd"/>
            <w:r w:rsidRPr="00C071BE">
              <w:rPr>
                <w:i/>
                <w:szCs w:val="24"/>
                <w:lang w:val="lv-LV"/>
              </w:rPr>
              <w:t xml:space="preserve"> </w:t>
            </w:r>
            <w:r w:rsidRPr="00C071BE">
              <w:rPr>
                <w:szCs w:val="24"/>
                <w:lang w:val="lv-LV"/>
              </w:rPr>
              <w:t>298 000</w:t>
            </w:r>
            <w:r w:rsidR="003D6706" w:rsidRPr="00C071BE">
              <w:t xml:space="preserve"> </w:t>
            </w:r>
            <w:r w:rsidR="003D6706" w:rsidRPr="00C071BE">
              <w:rPr>
                <w:szCs w:val="24"/>
                <w:lang w:val="lv-LV"/>
              </w:rPr>
              <w:t>ekvivalents latos</w:t>
            </w:r>
            <w:r w:rsidRPr="00C071BE">
              <w:rPr>
                <w:szCs w:val="24"/>
                <w:lang w:val="lv-LV"/>
              </w:rPr>
              <w:t>;</w:t>
            </w:r>
          </w:p>
          <w:p w:rsidR="008928B7" w:rsidRPr="00C071BE" w:rsidRDefault="00FF0DB8" w:rsidP="003D6706">
            <w:pPr>
              <w:pStyle w:val="ListParagraph"/>
              <w:numPr>
                <w:ilvl w:val="1"/>
                <w:numId w:val="3"/>
              </w:numPr>
              <w:tabs>
                <w:tab w:val="left" w:pos="835"/>
              </w:tabs>
              <w:jc w:val="both"/>
              <w:rPr>
                <w:szCs w:val="24"/>
                <w:lang w:val="lv-LV"/>
              </w:rPr>
            </w:pPr>
            <w:r w:rsidRPr="00C071BE">
              <w:rPr>
                <w:szCs w:val="24"/>
                <w:lang w:val="lv-LV"/>
              </w:rPr>
              <w:t>a</w:t>
            </w:r>
            <w:r w:rsidR="008928B7" w:rsidRPr="00C071BE">
              <w:rPr>
                <w:szCs w:val="24"/>
                <w:lang w:val="lv-LV"/>
              </w:rPr>
              <w:t xml:space="preserve">tbalsts Zaļo Tehnoloģiju inkubatora infrastruktūras izveidei </w:t>
            </w:r>
            <w:proofErr w:type="spellStart"/>
            <w:r w:rsidR="008928B7" w:rsidRPr="00C071BE">
              <w:rPr>
                <w:i/>
                <w:szCs w:val="24"/>
                <w:lang w:val="lv-LV"/>
              </w:rPr>
              <w:t>euro</w:t>
            </w:r>
            <w:proofErr w:type="spellEnd"/>
            <w:r w:rsidR="008928B7" w:rsidRPr="00C071BE">
              <w:rPr>
                <w:szCs w:val="24"/>
                <w:lang w:val="lv-LV"/>
              </w:rPr>
              <w:t xml:space="preserve"> 315 000</w:t>
            </w:r>
            <w:r w:rsidR="003D6706" w:rsidRPr="00C071BE">
              <w:t xml:space="preserve"> </w:t>
            </w:r>
            <w:r w:rsidR="003D6706" w:rsidRPr="00C071BE">
              <w:rPr>
                <w:szCs w:val="24"/>
                <w:lang w:val="lv-LV"/>
              </w:rPr>
              <w:t>ekvivalents latos</w:t>
            </w:r>
            <w:r w:rsidR="008928B7" w:rsidRPr="00C071BE">
              <w:rPr>
                <w:szCs w:val="24"/>
                <w:lang w:val="lv-LV"/>
              </w:rPr>
              <w:t xml:space="preserve">. </w:t>
            </w:r>
          </w:p>
          <w:p w:rsidR="008928B7" w:rsidRPr="00C071BE" w:rsidRDefault="008928B7" w:rsidP="008928B7">
            <w:pPr>
              <w:tabs>
                <w:tab w:val="left" w:pos="835"/>
              </w:tabs>
              <w:ind w:left="425"/>
              <w:jc w:val="both"/>
              <w:rPr>
                <w:szCs w:val="24"/>
                <w:lang w:val="lv-LV"/>
              </w:rPr>
            </w:pPr>
            <w:r w:rsidRPr="00C071BE">
              <w:rPr>
                <w:szCs w:val="24"/>
                <w:lang w:val="lv-LV"/>
              </w:rPr>
              <w:t>Iepriekš noteiktā projekta līdzfinansēšanas likme mainījusies no 29% uz 17,7%.</w:t>
            </w:r>
          </w:p>
          <w:p w:rsidR="00F27DD8" w:rsidRPr="00C071BE" w:rsidRDefault="00F27DD8" w:rsidP="008928B7">
            <w:pPr>
              <w:pStyle w:val="ListParagraph"/>
              <w:numPr>
                <w:ilvl w:val="0"/>
                <w:numId w:val="2"/>
              </w:numPr>
              <w:tabs>
                <w:tab w:val="left" w:pos="835"/>
              </w:tabs>
              <w:jc w:val="both"/>
              <w:rPr>
                <w:szCs w:val="24"/>
                <w:lang w:val="lv-LV"/>
              </w:rPr>
            </w:pPr>
            <w:r w:rsidRPr="00C071BE">
              <w:rPr>
                <w:szCs w:val="24"/>
                <w:lang w:val="lv-LV"/>
              </w:rPr>
              <w:t>2012</w:t>
            </w:r>
            <w:r w:rsidR="00632F16" w:rsidRPr="00C071BE">
              <w:rPr>
                <w:szCs w:val="24"/>
                <w:lang w:val="lv-LV"/>
              </w:rPr>
              <w:t>.</w:t>
            </w:r>
            <w:r w:rsidR="00E241CB" w:rsidRPr="00C071BE">
              <w:rPr>
                <w:szCs w:val="24"/>
                <w:lang w:val="lv-LV"/>
              </w:rPr>
              <w:t>gada 23.nove</w:t>
            </w:r>
            <w:r w:rsidR="00C76E40" w:rsidRPr="00C071BE">
              <w:rPr>
                <w:szCs w:val="24"/>
                <w:lang w:val="lv-LV"/>
              </w:rPr>
              <w:t>m</w:t>
            </w:r>
            <w:r w:rsidR="00E241CB" w:rsidRPr="00C071BE">
              <w:rPr>
                <w:szCs w:val="24"/>
                <w:lang w:val="lv-LV"/>
              </w:rPr>
              <w:t>brī</w:t>
            </w:r>
            <w:r w:rsidRPr="00C071BE">
              <w:rPr>
                <w:szCs w:val="24"/>
                <w:lang w:val="lv-LV"/>
              </w:rPr>
              <w:t xml:space="preserve"> Finanšu instrument</w:t>
            </w:r>
            <w:r w:rsidR="00E241CB" w:rsidRPr="00C071BE">
              <w:rPr>
                <w:szCs w:val="24"/>
                <w:lang w:val="lv-LV"/>
              </w:rPr>
              <w:t>a</w:t>
            </w:r>
            <w:r w:rsidRPr="00C071BE">
              <w:rPr>
                <w:szCs w:val="24"/>
                <w:lang w:val="lv-LV"/>
              </w:rPr>
              <w:t xml:space="preserve"> biroja un </w:t>
            </w:r>
            <w:proofErr w:type="spellStart"/>
            <w:r w:rsidRPr="00C071BE">
              <w:rPr>
                <w:szCs w:val="24"/>
                <w:lang w:val="lv-LV"/>
              </w:rPr>
              <w:t>donorvalsts</w:t>
            </w:r>
            <w:proofErr w:type="spellEnd"/>
            <w:r w:rsidRPr="00C071BE">
              <w:rPr>
                <w:szCs w:val="24"/>
                <w:lang w:val="lv-LV"/>
              </w:rPr>
              <w:t xml:space="preserve">  programmas partnera apstiprinājums par neliela apjoma grantu shēmas plānoto saņēmēju skaita samazinājumu, nodrošinot izpratni par neliela apjoma grantu shēmas saņēmēju skaitu kā indikatīvu, ar iespēju šo rezultatīvo rādītāju pārskatīt pēc ārējā novērtējuma veikšanas par neliela apjoma grantu shēmas un iepriekš noteiktā projekta atbilstību;</w:t>
            </w:r>
          </w:p>
          <w:p w:rsidR="004B156A" w:rsidRPr="00C071BE" w:rsidRDefault="00F27DD8" w:rsidP="008928B7">
            <w:pPr>
              <w:pStyle w:val="ListParagraph"/>
              <w:numPr>
                <w:ilvl w:val="0"/>
                <w:numId w:val="2"/>
              </w:numPr>
              <w:tabs>
                <w:tab w:val="left" w:pos="835"/>
              </w:tabs>
              <w:jc w:val="both"/>
              <w:rPr>
                <w:szCs w:val="24"/>
                <w:lang w:val="lv-LV"/>
              </w:rPr>
            </w:pPr>
            <w:r w:rsidRPr="00C071BE">
              <w:rPr>
                <w:szCs w:val="24"/>
                <w:lang w:val="lv-LV"/>
              </w:rPr>
              <w:t>2012</w:t>
            </w:r>
            <w:r w:rsidR="00632F16" w:rsidRPr="00C071BE">
              <w:rPr>
                <w:szCs w:val="24"/>
                <w:lang w:val="lv-LV"/>
              </w:rPr>
              <w:t>.</w:t>
            </w:r>
            <w:r w:rsidR="00E241CB" w:rsidRPr="00C071BE">
              <w:rPr>
                <w:szCs w:val="24"/>
                <w:lang w:val="lv-LV"/>
              </w:rPr>
              <w:t>gada 18.decembrī</w:t>
            </w:r>
            <w:r w:rsidRPr="00C071BE">
              <w:rPr>
                <w:szCs w:val="24"/>
                <w:lang w:val="lv-LV"/>
              </w:rPr>
              <w:t xml:space="preserve"> Finanšu instrument</w:t>
            </w:r>
            <w:r w:rsidR="00E241CB" w:rsidRPr="00C071BE">
              <w:rPr>
                <w:szCs w:val="24"/>
                <w:lang w:val="lv-LV"/>
              </w:rPr>
              <w:t>a</w:t>
            </w:r>
            <w:r w:rsidRPr="00C071BE">
              <w:rPr>
                <w:szCs w:val="24"/>
                <w:lang w:val="lv-LV"/>
              </w:rPr>
              <w:t xml:space="preserve"> biroja un </w:t>
            </w:r>
            <w:proofErr w:type="spellStart"/>
            <w:r w:rsidRPr="00C071BE">
              <w:rPr>
                <w:szCs w:val="24"/>
                <w:lang w:val="lv-LV"/>
              </w:rPr>
              <w:t>donorvalsts</w:t>
            </w:r>
            <w:proofErr w:type="spellEnd"/>
            <w:r w:rsidRPr="00C071BE">
              <w:rPr>
                <w:szCs w:val="24"/>
                <w:lang w:val="lv-LV"/>
              </w:rPr>
              <w:t xml:space="preserve"> programmas partnera apstiprinājums par izmaiņu veikšanu divpusējās sadarbības fonda īstenošanas kārtībā, izslēdzot individuālas pieteikšanās iespēju projekta partnerību veidošanā, paredzot divpusējās sadarbības fonda aktivitātes veikt organizēti, izmantojot </w:t>
            </w:r>
            <w:r w:rsidR="00C76E40" w:rsidRPr="00C071BE">
              <w:rPr>
                <w:szCs w:val="24"/>
                <w:lang w:val="lv-LV"/>
              </w:rPr>
              <w:t>valsts pārvaldes iestādes „</w:t>
            </w:r>
            <w:r w:rsidRPr="00C071BE">
              <w:rPr>
                <w:szCs w:val="24"/>
                <w:lang w:val="lv-LV"/>
              </w:rPr>
              <w:t>Latvijas Investīciju un attīstības aģentūra”</w:t>
            </w:r>
            <w:r w:rsidR="00C76E40" w:rsidRPr="00C071BE">
              <w:rPr>
                <w:szCs w:val="24"/>
                <w:lang w:val="lv-LV"/>
              </w:rPr>
              <w:t xml:space="preserve"> (turpmāk-LIAA)</w:t>
            </w:r>
            <w:r w:rsidRPr="00C071BE">
              <w:rPr>
                <w:szCs w:val="24"/>
                <w:lang w:val="lv-LV"/>
              </w:rPr>
              <w:t xml:space="preserve"> pieredzi līdzvērtīgu pasākumu organizēšanā iespējamo </w:t>
            </w:r>
            <w:proofErr w:type="spellStart"/>
            <w:r w:rsidRPr="00C071BE">
              <w:rPr>
                <w:szCs w:val="24"/>
                <w:lang w:val="lv-LV"/>
              </w:rPr>
              <w:t>donorvalsts</w:t>
            </w:r>
            <w:proofErr w:type="spellEnd"/>
            <w:r w:rsidRPr="00C071BE">
              <w:rPr>
                <w:szCs w:val="24"/>
                <w:lang w:val="lv-LV"/>
              </w:rPr>
              <w:t xml:space="preserve"> projekta partneru piesaistei</w:t>
            </w:r>
            <w:r w:rsidR="004B156A" w:rsidRPr="00C071BE">
              <w:rPr>
                <w:szCs w:val="24"/>
                <w:lang w:val="lv-LV"/>
              </w:rPr>
              <w:t xml:space="preserve">, paredzot šādu atbalsta pasākumu īstenošanai atbalsta intensitāti 100% apmērā no programmas līdzfinansējuma līdzekļiem. </w:t>
            </w:r>
          </w:p>
          <w:p w:rsidR="004B156A" w:rsidRPr="00C071BE" w:rsidRDefault="004B156A" w:rsidP="004B156A">
            <w:pPr>
              <w:pStyle w:val="ListParagraph"/>
              <w:numPr>
                <w:ilvl w:val="0"/>
                <w:numId w:val="2"/>
              </w:numPr>
              <w:tabs>
                <w:tab w:val="left" w:pos="835"/>
              </w:tabs>
              <w:jc w:val="both"/>
              <w:rPr>
                <w:szCs w:val="24"/>
                <w:lang w:val="lv-LV"/>
              </w:rPr>
            </w:pPr>
            <w:r w:rsidRPr="00C071BE">
              <w:rPr>
                <w:szCs w:val="24"/>
                <w:lang w:val="lv-LV"/>
              </w:rPr>
              <w:t>Programmas apsaimniekotājs, izvērtējot ieguvumus</w:t>
            </w:r>
            <w:r w:rsidR="00F95943" w:rsidRPr="00C071BE">
              <w:rPr>
                <w:szCs w:val="24"/>
                <w:lang w:val="lv-LV"/>
              </w:rPr>
              <w:t>,</w:t>
            </w:r>
            <w:r w:rsidRPr="00C071BE">
              <w:rPr>
                <w:szCs w:val="24"/>
                <w:lang w:val="lv-LV"/>
              </w:rPr>
              <w:t xml:space="preserve"> administrējot atbalstu, neliela apjoma grantu shēmas atbalstam piemēro vienu intensitāti, nediferencējot atbalsta intensitāti atkarībā no komersanta, kas saņem neliela apjoma grantu shēmas atbalstu, vecuma. Visiem neliela apjoma grantu shēmas programmas līdzfinansējuma saņēmējiem plānots piemērot šādu atbalsta intensitāti</w:t>
            </w:r>
            <w:r w:rsidR="002B4EF6" w:rsidRPr="00C071BE">
              <w:rPr>
                <w:szCs w:val="24"/>
                <w:lang w:val="lv-LV"/>
              </w:rPr>
              <w:t xml:space="preserve"> no programmas līdzfinansējuma līdzekļiem</w:t>
            </w:r>
            <w:r w:rsidRPr="00C071BE">
              <w:rPr>
                <w:szCs w:val="24"/>
                <w:lang w:val="lv-LV"/>
              </w:rPr>
              <w:t>:</w:t>
            </w:r>
          </w:p>
          <w:p w:rsidR="00A6619F" w:rsidRPr="00C071BE" w:rsidRDefault="00A6619F" w:rsidP="00632F16">
            <w:pPr>
              <w:pStyle w:val="ListParagraph"/>
              <w:numPr>
                <w:ilvl w:val="1"/>
                <w:numId w:val="3"/>
              </w:numPr>
              <w:tabs>
                <w:tab w:val="left" w:pos="835"/>
              </w:tabs>
              <w:jc w:val="both"/>
              <w:rPr>
                <w:szCs w:val="24"/>
                <w:lang w:val="lv-LV"/>
              </w:rPr>
            </w:pPr>
            <w:r w:rsidRPr="00C071BE">
              <w:rPr>
                <w:szCs w:val="24"/>
                <w:lang w:val="lv-LV"/>
              </w:rPr>
              <w:t>līdz 80% pirmajā atbalsta saņemšanas gadā;</w:t>
            </w:r>
          </w:p>
          <w:p w:rsidR="00A6619F" w:rsidRPr="00C071BE" w:rsidRDefault="00A6619F" w:rsidP="00632F16">
            <w:pPr>
              <w:pStyle w:val="ListParagraph"/>
              <w:numPr>
                <w:ilvl w:val="1"/>
                <w:numId w:val="3"/>
              </w:numPr>
              <w:tabs>
                <w:tab w:val="left" w:pos="835"/>
              </w:tabs>
              <w:jc w:val="both"/>
              <w:rPr>
                <w:szCs w:val="24"/>
                <w:lang w:val="lv-LV"/>
              </w:rPr>
            </w:pPr>
            <w:r w:rsidRPr="00C071BE">
              <w:rPr>
                <w:szCs w:val="24"/>
                <w:lang w:val="lv-LV"/>
              </w:rPr>
              <w:t>līdz 55% otrajā atbalsta saņemšanas gadā;</w:t>
            </w:r>
          </w:p>
          <w:p w:rsidR="00A6619F" w:rsidRPr="00C071BE" w:rsidRDefault="00A6619F" w:rsidP="00632F16">
            <w:pPr>
              <w:pStyle w:val="ListParagraph"/>
              <w:numPr>
                <w:ilvl w:val="1"/>
                <w:numId w:val="3"/>
              </w:numPr>
              <w:tabs>
                <w:tab w:val="left" w:pos="835"/>
              </w:tabs>
              <w:jc w:val="both"/>
              <w:rPr>
                <w:szCs w:val="24"/>
                <w:lang w:val="lv-LV"/>
              </w:rPr>
            </w:pPr>
            <w:r w:rsidRPr="00C071BE">
              <w:rPr>
                <w:szCs w:val="24"/>
                <w:lang w:val="lv-LV"/>
              </w:rPr>
              <w:t>līdz 35% trešajā atbalsta saņemšanas gadā;</w:t>
            </w:r>
          </w:p>
          <w:p w:rsidR="009C7444" w:rsidRPr="00C071BE" w:rsidRDefault="00A6619F" w:rsidP="00632F16">
            <w:pPr>
              <w:pStyle w:val="ListParagraph"/>
              <w:numPr>
                <w:ilvl w:val="1"/>
                <w:numId w:val="3"/>
              </w:numPr>
              <w:tabs>
                <w:tab w:val="left" w:pos="835"/>
              </w:tabs>
              <w:jc w:val="both"/>
              <w:rPr>
                <w:szCs w:val="24"/>
                <w:lang w:val="lv-LV"/>
              </w:rPr>
            </w:pPr>
            <w:r w:rsidRPr="00C071BE">
              <w:rPr>
                <w:szCs w:val="24"/>
                <w:lang w:val="lv-LV"/>
              </w:rPr>
              <w:t>līdz</w:t>
            </w:r>
            <w:r w:rsidR="00E43A50" w:rsidRPr="00C071BE">
              <w:rPr>
                <w:szCs w:val="24"/>
                <w:lang w:val="lv-LV"/>
              </w:rPr>
              <w:t xml:space="preserve"> </w:t>
            </w:r>
            <w:r w:rsidRPr="00C071BE">
              <w:rPr>
                <w:szCs w:val="24"/>
                <w:lang w:val="lv-LV"/>
              </w:rPr>
              <w:t>10% ceturtajā atbalsta saņemšanas gadā.</w:t>
            </w:r>
            <w:r w:rsidR="008928B7" w:rsidRPr="00C071BE">
              <w:rPr>
                <w:szCs w:val="24"/>
                <w:lang w:val="lv-LV"/>
              </w:rPr>
              <w:t xml:space="preserve"> </w:t>
            </w:r>
          </w:p>
          <w:p w:rsidR="008928B7" w:rsidRPr="00C071BE" w:rsidRDefault="008928B7" w:rsidP="009C7444">
            <w:pPr>
              <w:pStyle w:val="ListParagraph"/>
              <w:numPr>
                <w:ilvl w:val="0"/>
                <w:numId w:val="2"/>
              </w:numPr>
              <w:jc w:val="both"/>
              <w:rPr>
                <w:szCs w:val="24"/>
                <w:lang w:val="lv-LV"/>
              </w:rPr>
            </w:pPr>
            <w:r w:rsidRPr="00C071BE">
              <w:rPr>
                <w:szCs w:val="24"/>
                <w:lang w:val="lv-LV"/>
              </w:rPr>
              <w:t xml:space="preserve"> </w:t>
            </w:r>
            <w:r w:rsidR="009C7444" w:rsidRPr="00C071BE">
              <w:rPr>
                <w:szCs w:val="24"/>
                <w:lang w:val="lv-LV"/>
              </w:rPr>
              <w:t xml:space="preserve">Samazināts iepriekš noteiktā projekta „Zaļo Tehnoloģiju inkubators” iesniegšanas laiks. Iepriekš noteiktā projekta iesniegumu var iesniegt uzreiz pēc Ministru kabineta noteikumu stāšanās spēkā. </w:t>
            </w:r>
          </w:p>
          <w:p w:rsidR="009C7444" w:rsidRPr="00C071BE" w:rsidRDefault="009C7444" w:rsidP="009C7444">
            <w:pPr>
              <w:jc w:val="both"/>
              <w:rPr>
                <w:szCs w:val="24"/>
                <w:lang w:val="lv-LV"/>
              </w:rPr>
            </w:pPr>
            <w:r w:rsidRPr="00C071BE">
              <w:rPr>
                <w:szCs w:val="24"/>
                <w:lang w:val="lv-LV"/>
              </w:rPr>
              <w:t>Ar terminu „zaļās” darba vietas š</w:t>
            </w:r>
            <w:r w:rsidR="00C76E40" w:rsidRPr="00C071BE">
              <w:rPr>
                <w:szCs w:val="24"/>
                <w:lang w:val="lv-LV"/>
              </w:rPr>
              <w:t>ī</w:t>
            </w:r>
            <w:r w:rsidRPr="00C071BE">
              <w:rPr>
                <w:szCs w:val="24"/>
                <w:lang w:val="lv-LV"/>
              </w:rPr>
              <w:t xml:space="preserve"> no</w:t>
            </w:r>
            <w:r w:rsidR="006941FA" w:rsidRPr="00C071BE">
              <w:rPr>
                <w:szCs w:val="24"/>
                <w:lang w:val="lv-LV"/>
              </w:rPr>
              <w:t xml:space="preserve">rmatīvā akta </w:t>
            </w:r>
            <w:r w:rsidRPr="00C071BE">
              <w:rPr>
                <w:szCs w:val="24"/>
                <w:lang w:val="lv-LV"/>
              </w:rPr>
              <w:t>projekta izpratnē saprot visas no jauna radītās darba vietas ar Programmas līdzfinansējuma atbalstu</w:t>
            </w:r>
            <w:r w:rsidR="006941FA" w:rsidRPr="00C071BE">
              <w:rPr>
                <w:szCs w:val="24"/>
                <w:lang w:val="lv-LV"/>
              </w:rPr>
              <w:t xml:space="preserve"> normatīvā akta </w:t>
            </w:r>
            <w:r w:rsidR="006941FA" w:rsidRPr="00C071BE">
              <w:rPr>
                <w:szCs w:val="24"/>
                <w:lang w:val="lv-LV"/>
              </w:rPr>
              <w:lastRenderedPageBreak/>
              <w:t>projekta 2.punktā noteiktajās atbalstāmajās jomās.</w:t>
            </w:r>
            <w:r w:rsidRPr="00C071BE">
              <w:rPr>
                <w:szCs w:val="24"/>
                <w:lang w:val="lv-LV"/>
              </w:rPr>
              <w:t xml:space="preserve"> </w:t>
            </w:r>
          </w:p>
          <w:p w:rsidR="008F0FD6" w:rsidRPr="00C071BE" w:rsidRDefault="009C7444" w:rsidP="009C7444">
            <w:pPr>
              <w:jc w:val="both"/>
              <w:rPr>
                <w:szCs w:val="24"/>
                <w:lang w:val="lv-LV"/>
              </w:rPr>
            </w:pPr>
            <w:r w:rsidRPr="00C071BE">
              <w:rPr>
                <w:szCs w:val="24"/>
                <w:lang w:val="lv-LV"/>
              </w:rPr>
              <w:t xml:space="preserve">Ar terminu „zaļā” uzņēmējdarbība </w:t>
            </w:r>
            <w:r w:rsidR="006941FA" w:rsidRPr="00C071BE">
              <w:rPr>
                <w:szCs w:val="24"/>
                <w:lang w:val="lv-LV"/>
              </w:rPr>
              <w:t>š</w:t>
            </w:r>
            <w:r w:rsidR="00C76E40" w:rsidRPr="00C071BE">
              <w:rPr>
                <w:szCs w:val="24"/>
                <w:lang w:val="lv-LV"/>
              </w:rPr>
              <w:t>ī</w:t>
            </w:r>
            <w:r w:rsidR="006941FA" w:rsidRPr="00C071BE">
              <w:rPr>
                <w:szCs w:val="24"/>
                <w:lang w:val="lv-LV"/>
              </w:rPr>
              <w:t xml:space="preserve"> normatīvā akta projekta izpratnē </w:t>
            </w:r>
            <w:r w:rsidRPr="00C071BE">
              <w:rPr>
                <w:szCs w:val="24"/>
                <w:lang w:val="lv-LV"/>
              </w:rPr>
              <w:t>tiek saprast</w:t>
            </w:r>
            <w:r w:rsidR="006941FA" w:rsidRPr="00C071BE">
              <w:rPr>
                <w:szCs w:val="24"/>
                <w:lang w:val="lv-LV"/>
              </w:rPr>
              <w:t>a uzņēmējdarbības veicināšana normatīvā akta projekta 2.punktā</w:t>
            </w:r>
            <w:r w:rsidR="008F0FD6" w:rsidRPr="00C071BE">
              <w:rPr>
                <w:szCs w:val="24"/>
                <w:lang w:val="lv-LV"/>
              </w:rPr>
              <w:t xml:space="preserve"> noteiktajās atbalsta jomās.</w:t>
            </w:r>
          </w:p>
          <w:p w:rsidR="00BA0BC1" w:rsidRPr="00C071BE" w:rsidRDefault="008F0FD6" w:rsidP="00BA0BC1">
            <w:pPr>
              <w:jc w:val="both"/>
              <w:rPr>
                <w:szCs w:val="24"/>
                <w:lang w:val="lv-LV"/>
              </w:rPr>
            </w:pPr>
            <w:r w:rsidRPr="00C071BE">
              <w:rPr>
                <w:szCs w:val="24"/>
                <w:lang w:val="lv-LV"/>
              </w:rPr>
              <w:t xml:space="preserve">Ar terminu „zaļās” inovācijas </w:t>
            </w:r>
            <w:r w:rsidR="006941FA" w:rsidRPr="00C071BE">
              <w:rPr>
                <w:szCs w:val="24"/>
                <w:lang w:val="lv-LV"/>
              </w:rPr>
              <w:t xml:space="preserve">šā normatīvā akta projekta izpratnē </w:t>
            </w:r>
            <w:r w:rsidRPr="00C071BE">
              <w:rPr>
                <w:szCs w:val="24"/>
                <w:lang w:val="lv-LV"/>
              </w:rPr>
              <w:t>tiek saprastas inovācijas</w:t>
            </w:r>
            <w:r w:rsidR="006941FA" w:rsidRPr="00C071BE">
              <w:rPr>
                <w:szCs w:val="24"/>
                <w:lang w:val="lv-LV"/>
              </w:rPr>
              <w:t xml:space="preserve"> normatīvā akta projekta 2.punktā noteiktajās atbalsta jomās</w:t>
            </w:r>
            <w:r w:rsidR="007E4710" w:rsidRPr="00C071BE">
              <w:rPr>
                <w:szCs w:val="24"/>
                <w:lang w:val="lv-LV"/>
              </w:rPr>
              <w:t>.</w:t>
            </w:r>
          </w:p>
          <w:p w:rsidR="009B6C96" w:rsidRPr="00C071BE" w:rsidRDefault="009B6C96" w:rsidP="009B6C96">
            <w:pPr>
              <w:jc w:val="both"/>
              <w:rPr>
                <w:szCs w:val="24"/>
                <w:lang w:val="lv-LV"/>
              </w:rPr>
            </w:pPr>
            <w:r w:rsidRPr="00C071BE">
              <w:rPr>
                <w:szCs w:val="24"/>
                <w:lang w:val="lv-LV"/>
              </w:rPr>
              <w:t xml:space="preserve">Programmas sniegto atbalstu ir atļauts kombinēt ar atbalstu Eiropas Savienības Reģionālās attīstības fonda līdzfinansētajai aktivitātei 2.2.1.1. „Ieguldījumu fonds investīcijām garantijās, paaugstināta riska aizdevumos, riska kapitāla fondos un cita veida finanšu instrumentos”. Neliela apjoma grantu shēmas atbalsta saņēmējiem, kuri vienlaicīgi ir saņēmuši vai plāno saņemt atbalstu riska kapitāla ieguldījumu veidā programmas līdzfinansējuma summu samazina par 20%, piemērojot šo nosacījumu trīs gadus no riska kapitāla piešķiršanas. Norvēģijas finanšu instrumenta 2009.-2014.gadam sniegtais atbalsts ir plānots kā papildinošs atbalsts, lai nodrošinātu kvalitatīvu projektu sagatavošanu, kas varētu saņemt finansējumu ieguldījumu riska kapitālā veidā. </w:t>
            </w:r>
          </w:p>
          <w:p w:rsidR="008A073C" w:rsidRPr="00C071BE" w:rsidRDefault="009B6C96" w:rsidP="004E2C3B">
            <w:pPr>
              <w:jc w:val="both"/>
              <w:rPr>
                <w:szCs w:val="24"/>
                <w:lang w:val="lv-LV"/>
              </w:rPr>
            </w:pPr>
            <w:r w:rsidRPr="00C071BE">
              <w:rPr>
                <w:szCs w:val="24"/>
                <w:lang w:val="lv-LV"/>
              </w:rPr>
              <w:t xml:space="preserve">Norvēģijas finanšu instrumenta neliela apjoma grantu shēmas atbalstu nav plānots piešķirt tiem komersantiem, kas vienlaicīgi ar neliela apjoma grantu shēmas atbalstu saņem atbalstu vienām un tām pašām izmaksām Eiropas Savienības Reģionālās attīstības fonda līdzfinansētās aktivitātes 2.3.2.1. „Biznesa inkubatori”  (turpmāk- Biznesa inkubatoru aktivitāte) un Eiropas Savienības </w:t>
            </w:r>
            <w:r w:rsidR="00FF4420" w:rsidRPr="00C071BE">
              <w:rPr>
                <w:szCs w:val="24"/>
                <w:lang w:val="lv-LV"/>
              </w:rPr>
              <w:t xml:space="preserve">Sociālā </w:t>
            </w:r>
            <w:r w:rsidRPr="00C071BE">
              <w:rPr>
                <w:szCs w:val="24"/>
                <w:lang w:val="lv-LV"/>
              </w:rPr>
              <w:t xml:space="preserve">fonda līdzfinansētās aktivitātes </w:t>
            </w:r>
            <w:r w:rsidR="009500B2" w:rsidRPr="00C071BE">
              <w:rPr>
                <w:szCs w:val="24"/>
                <w:lang w:val="lv-LV"/>
              </w:rPr>
              <w:t>1</w:t>
            </w:r>
            <w:r w:rsidRPr="00C071BE">
              <w:rPr>
                <w:szCs w:val="24"/>
                <w:lang w:val="lv-LV"/>
              </w:rPr>
              <w:t>.3.1.</w:t>
            </w:r>
            <w:r w:rsidR="009500B2" w:rsidRPr="00C071BE">
              <w:rPr>
                <w:szCs w:val="24"/>
                <w:lang w:val="lv-LV"/>
              </w:rPr>
              <w:t xml:space="preserve">2. </w:t>
            </w:r>
            <w:r w:rsidRPr="00C071BE">
              <w:rPr>
                <w:szCs w:val="24"/>
                <w:lang w:val="lv-LV"/>
              </w:rPr>
              <w:t>„</w:t>
            </w:r>
            <w:r w:rsidR="009500B2" w:rsidRPr="00C071BE">
              <w:rPr>
                <w:szCs w:val="24"/>
                <w:lang w:val="lv-LV"/>
              </w:rPr>
              <w:t xml:space="preserve">Atbalsts </w:t>
            </w:r>
            <w:proofErr w:type="spellStart"/>
            <w:r w:rsidR="009500B2" w:rsidRPr="00C071BE">
              <w:rPr>
                <w:szCs w:val="24"/>
                <w:lang w:val="lv-LV"/>
              </w:rPr>
              <w:t>pašnodarbinātības</w:t>
            </w:r>
            <w:proofErr w:type="spellEnd"/>
            <w:r w:rsidR="009500B2" w:rsidRPr="00C071BE">
              <w:rPr>
                <w:szCs w:val="24"/>
                <w:lang w:val="lv-LV"/>
              </w:rPr>
              <w:t xml:space="preserve"> un uzņēmējdarbības uzsākšanai</w:t>
            </w:r>
            <w:r w:rsidRPr="00C071BE">
              <w:rPr>
                <w:szCs w:val="24"/>
                <w:lang w:val="lv-LV"/>
              </w:rPr>
              <w:t>”</w:t>
            </w:r>
            <w:r w:rsidR="009500B2" w:rsidRPr="00C071BE">
              <w:rPr>
                <w:szCs w:val="24"/>
                <w:lang w:val="lv-LV"/>
              </w:rPr>
              <w:t xml:space="preserve"> </w:t>
            </w:r>
            <w:r w:rsidRPr="00C071BE">
              <w:rPr>
                <w:szCs w:val="24"/>
                <w:lang w:val="lv-LV"/>
              </w:rPr>
              <w:t xml:space="preserve">ietvaros. </w:t>
            </w:r>
            <w:r w:rsidR="009500B2" w:rsidRPr="00C071BE">
              <w:rPr>
                <w:szCs w:val="24"/>
                <w:lang w:val="lv-LV"/>
              </w:rPr>
              <w:t>Papildus iepriekš minētajam d</w:t>
            </w:r>
            <w:r w:rsidRPr="00C071BE">
              <w:rPr>
                <w:szCs w:val="24"/>
                <w:lang w:val="lv-LV"/>
              </w:rPr>
              <w:t>emarkācija ar biznesa inkubatoru aktivitāti tiek nodrošināta, paredzot, ka Zaļo Tehnoloģiju inkubatora primārā darbības vieta ir Rīg</w:t>
            </w:r>
            <w:r w:rsidR="00E241CB" w:rsidRPr="00C071BE">
              <w:rPr>
                <w:szCs w:val="24"/>
                <w:lang w:val="lv-LV"/>
              </w:rPr>
              <w:t>a</w:t>
            </w:r>
            <w:r w:rsidRPr="00C071BE">
              <w:rPr>
                <w:szCs w:val="24"/>
                <w:lang w:val="lv-LV"/>
              </w:rPr>
              <w:t xml:space="preserve">. Papildus tam demarkācija tiks nodrošināta, iegūstot informāciju par Norvēģijas finanšu instrumenta Programmas līdzfinansējuma saņēmējiem un salīdzinot to ar informāciju par komersanta saņemto atbalstu citās LIAA administrētajās valsts atbalsta programmās. </w:t>
            </w:r>
            <w:r w:rsidR="00FF4420" w:rsidRPr="00C071BE">
              <w:rPr>
                <w:szCs w:val="24"/>
                <w:lang w:val="lv-LV"/>
              </w:rPr>
              <w:t>Programmas īstenošanā savstarpējai datu salīdzināšanai par projektu attiecinām</w:t>
            </w:r>
            <w:r w:rsidR="005406A5" w:rsidRPr="00C071BE">
              <w:rPr>
                <w:szCs w:val="24"/>
                <w:lang w:val="lv-LV"/>
              </w:rPr>
              <w:t>a</w:t>
            </w:r>
            <w:r w:rsidR="00FF4420" w:rsidRPr="00C071BE">
              <w:rPr>
                <w:szCs w:val="24"/>
                <w:lang w:val="lv-LV"/>
              </w:rPr>
              <w:t xml:space="preserve">jām izmaksām tiks izmantota Eiropas Savienības struktūrfondu un Kohēzijas fonda vadības informācijas sistēma. </w:t>
            </w:r>
            <w:r w:rsidRPr="00C071BE">
              <w:rPr>
                <w:szCs w:val="24"/>
                <w:lang w:val="lv-LV"/>
              </w:rPr>
              <w:t xml:space="preserve"> </w:t>
            </w:r>
            <w:r w:rsidR="005406A5" w:rsidRPr="00C071BE">
              <w:rPr>
                <w:szCs w:val="24"/>
                <w:lang w:val="lv-LV"/>
              </w:rPr>
              <w:t>Min</w:t>
            </w:r>
            <w:r w:rsidR="004E2C3B" w:rsidRPr="00C071BE">
              <w:rPr>
                <w:szCs w:val="24"/>
                <w:lang w:val="lv-LV"/>
              </w:rPr>
              <w:t xml:space="preserve">istru kabineta noteikumu projekta 23.punkts paredz, ka Ministru kabineta noteikumu projekta VIII. nodaļā plānotais atbalsts neliela apjoma grantu shēmas projektiem nevar tikt apvienots ar atbalstu vienām un tām pašām izmaksām, kas ir finansēts vai ko plāno finansēt no Eiropas Savienības struktūrfondu līdzekļiem grantu veidā, kuriem piemēro Padomes 2006.gada 13.decembra Regulas (EK, </w:t>
            </w:r>
            <w:r w:rsidR="004E2C3B" w:rsidRPr="00C071BE">
              <w:rPr>
                <w:i/>
                <w:szCs w:val="24"/>
                <w:lang w:val="lv-LV"/>
              </w:rPr>
              <w:t>EURATOM</w:t>
            </w:r>
            <w:r w:rsidR="004E2C3B" w:rsidRPr="00C071BE">
              <w:rPr>
                <w:szCs w:val="24"/>
                <w:lang w:val="lv-LV"/>
              </w:rPr>
              <w:t xml:space="preserve">) Nr.1995/2006, ar ko groza Regulu Nr.1605/2002 par Finanšu regulu, ko piemēro Eiropas Kopienu vispārējam budžetam, 109.panta 1.punkta ierobežojumu. </w:t>
            </w:r>
            <w:r w:rsidRPr="00C071BE">
              <w:rPr>
                <w:szCs w:val="24"/>
                <w:lang w:val="lv-LV"/>
              </w:rPr>
              <w:t xml:space="preserve">  </w:t>
            </w:r>
          </w:p>
        </w:tc>
      </w:tr>
      <w:tr w:rsidR="00457DC2" w:rsidRPr="00C040C4" w:rsidTr="008E41BA">
        <w:trPr>
          <w:trHeight w:val="476"/>
        </w:trPr>
        <w:tc>
          <w:tcPr>
            <w:tcW w:w="524"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lastRenderedPageBreak/>
              <w:t> 5.</w:t>
            </w:r>
          </w:p>
        </w:tc>
        <w:tc>
          <w:tcPr>
            <w:tcW w:w="2595"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Projekta izstrādē iesaistītās institūcijas</w:t>
            </w:r>
          </w:p>
        </w:tc>
        <w:tc>
          <w:tcPr>
            <w:tcW w:w="5982"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C071BE" w:rsidRDefault="007E4FD3" w:rsidP="00C76E40">
            <w:pPr>
              <w:ind w:firstLine="284"/>
              <w:jc w:val="both"/>
              <w:rPr>
                <w:szCs w:val="24"/>
                <w:lang w:val="lv-LV"/>
              </w:rPr>
            </w:pPr>
            <w:r w:rsidRPr="00C071BE">
              <w:rPr>
                <w:szCs w:val="24"/>
                <w:lang w:val="lv-LV"/>
              </w:rPr>
              <w:t>Ministru kabineta noteikumu projekts</w:t>
            </w:r>
            <w:r w:rsidR="00E42EB2" w:rsidRPr="00C071BE">
              <w:rPr>
                <w:szCs w:val="24"/>
                <w:lang w:val="lv-LV"/>
              </w:rPr>
              <w:t xml:space="preserve"> izstrādāts ciešā partnerībā ar </w:t>
            </w:r>
            <w:proofErr w:type="spellStart"/>
            <w:r w:rsidR="00C562FC" w:rsidRPr="00C071BE">
              <w:rPr>
                <w:szCs w:val="24"/>
                <w:lang w:val="lv-LV"/>
              </w:rPr>
              <w:t>donorvalsts</w:t>
            </w:r>
            <w:proofErr w:type="spellEnd"/>
            <w:r w:rsidR="00C562FC" w:rsidRPr="00C071BE">
              <w:rPr>
                <w:szCs w:val="24"/>
                <w:lang w:val="lv-LV"/>
              </w:rPr>
              <w:t xml:space="preserve"> programmas partneri</w:t>
            </w:r>
            <w:r w:rsidR="00E42EB2" w:rsidRPr="00C071BE">
              <w:rPr>
                <w:szCs w:val="24"/>
                <w:lang w:val="lv-LV"/>
              </w:rPr>
              <w:t xml:space="preserve"> Norvēģijas Inovāciju aģentūru, Norvēģijas Industriālo Attīstības Korporāciju SIVA un LIAA. </w:t>
            </w:r>
            <w:r w:rsidRPr="00C071BE">
              <w:rPr>
                <w:szCs w:val="24"/>
                <w:lang w:val="lv-LV"/>
              </w:rPr>
              <w:t xml:space="preserve">Ministru kabineta noteikumu projekta </w:t>
            </w:r>
            <w:r w:rsidR="00E42EB2" w:rsidRPr="00C071BE">
              <w:rPr>
                <w:szCs w:val="24"/>
                <w:lang w:val="lv-LV"/>
              </w:rPr>
              <w:t>izstrādes procesā ir iesaistī</w:t>
            </w:r>
            <w:r w:rsidRPr="00C071BE">
              <w:rPr>
                <w:szCs w:val="24"/>
                <w:lang w:val="lv-LV"/>
              </w:rPr>
              <w:t>jušās un savu viedokli sniegušas</w:t>
            </w:r>
            <w:r w:rsidR="00E42EB2" w:rsidRPr="00C071BE">
              <w:rPr>
                <w:szCs w:val="24"/>
                <w:lang w:val="lv-LV"/>
              </w:rPr>
              <w:t xml:space="preserve"> Latvijas Universitāte un Rīgas Tehniskā universitāte.</w:t>
            </w:r>
            <w:r w:rsidR="004E63A7" w:rsidRPr="00C071BE">
              <w:rPr>
                <w:szCs w:val="24"/>
                <w:lang w:val="lv-LV"/>
              </w:rPr>
              <w:t xml:space="preserve"> </w:t>
            </w:r>
          </w:p>
        </w:tc>
      </w:tr>
      <w:tr w:rsidR="00457DC2" w:rsidRPr="00C040C4" w:rsidTr="008E41BA">
        <w:trPr>
          <w:trHeight w:val="1340"/>
        </w:trPr>
        <w:tc>
          <w:tcPr>
            <w:tcW w:w="524"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6.</w:t>
            </w:r>
          </w:p>
        </w:tc>
        <w:tc>
          <w:tcPr>
            <w:tcW w:w="2595"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Iemesli, kādēļ netika nodrošināta sabiedrības līdzdalība</w:t>
            </w:r>
          </w:p>
        </w:tc>
        <w:tc>
          <w:tcPr>
            <w:tcW w:w="5982"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E42EB2" w:rsidP="007E4FD3">
            <w:pPr>
              <w:spacing w:after="120"/>
              <w:ind w:firstLine="425"/>
              <w:jc w:val="both"/>
              <w:rPr>
                <w:szCs w:val="24"/>
                <w:lang w:val="lv-LV"/>
              </w:rPr>
            </w:pPr>
            <w:r w:rsidRPr="00380DA5">
              <w:rPr>
                <w:szCs w:val="24"/>
                <w:lang w:val="lv-LV"/>
              </w:rPr>
              <w:t>Ekonomikas ministrijas</w:t>
            </w:r>
            <w:r w:rsidR="007E4FD3">
              <w:rPr>
                <w:szCs w:val="24"/>
                <w:lang w:val="lv-LV"/>
              </w:rPr>
              <w:t xml:space="preserve"> un Norvēģijas Karalistes  vēstniecības Latvijā kopīgi organizētā programmas uzsākšanas pasākumā 2012. gada 3. oktobrī Norvēģijas dienu Latvijā ietvaros plašāka sabiedrība tika informēta par programmas plānoto Ministru kabineta noteikumu saturu. </w:t>
            </w:r>
          </w:p>
        </w:tc>
      </w:tr>
      <w:tr w:rsidR="00457DC2" w:rsidRPr="00380DA5" w:rsidTr="008E41BA">
        <w:tc>
          <w:tcPr>
            <w:tcW w:w="524"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7.</w:t>
            </w:r>
          </w:p>
        </w:tc>
        <w:tc>
          <w:tcPr>
            <w:tcW w:w="2595"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Cita informācija</w:t>
            </w:r>
          </w:p>
        </w:tc>
        <w:tc>
          <w:tcPr>
            <w:tcW w:w="5982"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rsidP="00D73C9B">
            <w:pPr>
              <w:spacing w:before="75" w:after="75"/>
              <w:ind w:firstLine="425"/>
              <w:rPr>
                <w:szCs w:val="24"/>
                <w:lang w:val="lv-LV"/>
              </w:rPr>
            </w:pPr>
            <w:r w:rsidRPr="00380DA5">
              <w:rPr>
                <w:szCs w:val="24"/>
                <w:lang w:val="lv-LV"/>
              </w:rPr>
              <w:t> Nav.</w:t>
            </w:r>
          </w:p>
        </w:tc>
      </w:tr>
    </w:tbl>
    <w:p w:rsidR="00457DC2" w:rsidRPr="00380DA5" w:rsidRDefault="00457DC2">
      <w:pPr>
        <w:spacing w:after="60"/>
        <w:ind w:firstLine="374"/>
        <w:rPr>
          <w:szCs w:val="24"/>
          <w:lang w:val="lv-LV"/>
        </w:rPr>
      </w:pPr>
      <w:r w:rsidRPr="00380DA5">
        <w:rPr>
          <w:szCs w:val="24"/>
          <w:lang w:val="lv-LV"/>
        </w:rPr>
        <w:t> </w:t>
      </w: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523"/>
        <w:gridCol w:w="3036"/>
        <w:gridCol w:w="5542"/>
      </w:tblGrid>
      <w:tr w:rsidR="00457DC2" w:rsidRPr="00C040C4">
        <w:tc>
          <w:tcPr>
            <w:tcW w:w="9101"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457DC2" w:rsidRPr="00380DA5" w:rsidRDefault="00457DC2">
            <w:pPr>
              <w:spacing w:before="150" w:after="150"/>
              <w:jc w:val="center"/>
              <w:rPr>
                <w:b/>
                <w:szCs w:val="24"/>
                <w:lang w:val="lv-LV"/>
              </w:rPr>
            </w:pPr>
            <w:r w:rsidRPr="00380DA5">
              <w:rPr>
                <w:b/>
                <w:szCs w:val="24"/>
                <w:lang w:val="lv-LV"/>
              </w:rPr>
              <w:t>II. Tiesību akta projekta ietekme uz sabiedrību</w:t>
            </w:r>
          </w:p>
        </w:tc>
      </w:tr>
      <w:tr w:rsidR="00457DC2" w:rsidRPr="00380DA5" w:rsidTr="009E4EDD">
        <w:trPr>
          <w:trHeight w:val="467"/>
        </w:trPr>
        <w:tc>
          <w:tcPr>
            <w:tcW w:w="523"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1.</w:t>
            </w:r>
          </w:p>
        </w:tc>
        <w:tc>
          <w:tcPr>
            <w:tcW w:w="3036"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xml:space="preserve">Sabiedrības </w:t>
            </w:r>
            <w:proofErr w:type="spellStart"/>
            <w:r w:rsidRPr="00380DA5">
              <w:rPr>
                <w:szCs w:val="24"/>
                <w:lang w:val="lv-LV"/>
              </w:rPr>
              <w:t>mērķgrupa</w:t>
            </w:r>
            <w:proofErr w:type="spellEnd"/>
          </w:p>
        </w:tc>
        <w:tc>
          <w:tcPr>
            <w:tcW w:w="5542"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6E574E" w:rsidP="001F7874">
            <w:pPr>
              <w:ind w:firstLine="425"/>
              <w:jc w:val="both"/>
              <w:rPr>
                <w:szCs w:val="24"/>
                <w:lang w:val="lv-LV"/>
              </w:rPr>
            </w:pPr>
            <w:r>
              <w:rPr>
                <w:szCs w:val="24"/>
                <w:lang w:val="lv-LV"/>
              </w:rPr>
              <w:t>Universitātes,</w:t>
            </w:r>
            <w:r w:rsidR="0081599F" w:rsidRPr="00380DA5">
              <w:rPr>
                <w:szCs w:val="24"/>
                <w:lang w:val="lv-LV"/>
              </w:rPr>
              <w:t xml:space="preserve"> </w:t>
            </w:r>
            <w:r w:rsidR="001F7874">
              <w:rPr>
                <w:szCs w:val="24"/>
                <w:lang w:val="lv-LV"/>
              </w:rPr>
              <w:t>komersanti</w:t>
            </w:r>
            <w:r>
              <w:rPr>
                <w:szCs w:val="24"/>
                <w:lang w:val="lv-LV"/>
              </w:rPr>
              <w:t xml:space="preserve"> un fiziskas personas ar mērķi uzsākt </w:t>
            </w:r>
            <w:r w:rsidR="001F7874">
              <w:rPr>
                <w:szCs w:val="24"/>
                <w:lang w:val="lv-LV"/>
              </w:rPr>
              <w:t>saimniecisko darbību</w:t>
            </w:r>
            <w:r w:rsidR="0081599F" w:rsidRPr="00380DA5">
              <w:rPr>
                <w:szCs w:val="24"/>
                <w:lang w:val="lv-LV"/>
              </w:rPr>
              <w:t xml:space="preserve">. </w:t>
            </w:r>
          </w:p>
        </w:tc>
      </w:tr>
      <w:tr w:rsidR="00457DC2" w:rsidRPr="00380DA5" w:rsidTr="009E4EDD">
        <w:trPr>
          <w:trHeight w:val="523"/>
        </w:trPr>
        <w:tc>
          <w:tcPr>
            <w:tcW w:w="523"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2.</w:t>
            </w:r>
          </w:p>
        </w:tc>
        <w:tc>
          <w:tcPr>
            <w:tcW w:w="3036"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xml:space="preserve">Citas sabiedrības grupas (bez </w:t>
            </w:r>
            <w:proofErr w:type="spellStart"/>
            <w:r w:rsidRPr="00380DA5">
              <w:rPr>
                <w:szCs w:val="24"/>
                <w:lang w:val="lv-LV"/>
              </w:rPr>
              <w:t>mērķgrupas</w:t>
            </w:r>
            <w:proofErr w:type="spellEnd"/>
            <w:r w:rsidRPr="00380DA5">
              <w:rPr>
                <w:szCs w:val="24"/>
                <w:lang w:val="lv-LV"/>
              </w:rPr>
              <w:t>), kuras tiesiskais regulējums arī ietekmē vai varētu ietekmēt</w:t>
            </w:r>
          </w:p>
        </w:tc>
        <w:tc>
          <w:tcPr>
            <w:tcW w:w="5542"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rsidP="00D73C9B">
            <w:pPr>
              <w:spacing w:before="75" w:after="75"/>
              <w:ind w:firstLine="425"/>
              <w:jc w:val="both"/>
              <w:rPr>
                <w:szCs w:val="24"/>
                <w:lang w:val="lv-LV"/>
              </w:rPr>
            </w:pPr>
            <w:r w:rsidRPr="00380DA5">
              <w:rPr>
                <w:szCs w:val="24"/>
                <w:lang w:val="lv-LV"/>
              </w:rPr>
              <w:t>Projekts šo jomu neskar.</w:t>
            </w:r>
          </w:p>
        </w:tc>
      </w:tr>
      <w:tr w:rsidR="00457DC2" w:rsidRPr="00835AEF" w:rsidTr="009E4EDD">
        <w:trPr>
          <w:trHeight w:val="517"/>
        </w:trPr>
        <w:tc>
          <w:tcPr>
            <w:tcW w:w="523"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3.</w:t>
            </w:r>
          </w:p>
        </w:tc>
        <w:tc>
          <w:tcPr>
            <w:tcW w:w="3036"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Tiesiskā regulējuma finansiālā ietekme</w:t>
            </w:r>
          </w:p>
        </w:tc>
        <w:tc>
          <w:tcPr>
            <w:tcW w:w="5542" w:type="dxa"/>
            <w:tcBorders>
              <w:top w:val="thickThinLargeGap" w:sz="6" w:space="0" w:color="C0C0C0"/>
              <w:left w:val="thickThinLargeGap" w:sz="6" w:space="0" w:color="C0C0C0"/>
              <w:bottom w:val="thickThinLargeGap" w:sz="6" w:space="0" w:color="C0C0C0"/>
              <w:right w:val="thickThinLargeGap" w:sz="6" w:space="0" w:color="C0C0C0"/>
            </w:tcBorders>
            <w:hideMark/>
          </w:tcPr>
          <w:p w:rsidR="0010696E" w:rsidRPr="00380DA5" w:rsidRDefault="0081599F" w:rsidP="00FF0DB8">
            <w:pPr>
              <w:spacing w:before="75" w:after="75"/>
              <w:ind w:firstLine="425"/>
              <w:jc w:val="both"/>
              <w:rPr>
                <w:szCs w:val="24"/>
                <w:lang w:val="lv-LV"/>
              </w:rPr>
            </w:pPr>
            <w:r w:rsidRPr="00380DA5">
              <w:rPr>
                <w:szCs w:val="24"/>
                <w:lang w:val="lv-LV"/>
              </w:rPr>
              <w:t>Programmas ietvaros kopējais pieejamais finansējums ir</w:t>
            </w:r>
            <w:r w:rsidR="007E4FD3">
              <w:rPr>
                <w:szCs w:val="24"/>
                <w:lang w:val="lv-LV"/>
              </w:rPr>
              <w:t xml:space="preserve"> </w:t>
            </w:r>
            <w:proofErr w:type="spellStart"/>
            <w:r w:rsidR="007E4FD3" w:rsidRPr="007E4FD3">
              <w:rPr>
                <w:i/>
                <w:szCs w:val="24"/>
                <w:lang w:val="lv-LV"/>
              </w:rPr>
              <w:t>euro</w:t>
            </w:r>
            <w:proofErr w:type="spellEnd"/>
            <w:r w:rsidR="007E4FD3">
              <w:rPr>
                <w:szCs w:val="24"/>
                <w:lang w:val="lv-LV"/>
              </w:rPr>
              <w:t xml:space="preserve"> 12</w:t>
            </w:r>
            <w:r w:rsidR="00DC25AB">
              <w:rPr>
                <w:szCs w:val="24"/>
                <w:lang w:val="lv-LV"/>
              </w:rPr>
              <w:t> 586 667</w:t>
            </w:r>
            <w:r w:rsidRPr="00380DA5">
              <w:rPr>
                <w:szCs w:val="24"/>
                <w:lang w:val="lv-LV"/>
              </w:rPr>
              <w:t xml:space="preserve">, no kā </w:t>
            </w:r>
            <w:proofErr w:type="spellStart"/>
            <w:r w:rsidR="00DC25AB" w:rsidRPr="00DC25AB">
              <w:rPr>
                <w:i/>
                <w:szCs w:val="24"/>
                <w:lang w:val="lv-LV"/>
              </w:rPr>
              <w:t>euro</w:t>
            </w:r>
            <w:proofErr w:type="spellEnd"/>
            <w:r w:rsidR="00DC25AB">
              <w:rPr>
                <w:szCs w:val="24"/>
                <w:lang w:val="lv-LV"/>
              </w:rPr>
              <w:t xml:space="preserve"> </w:t>
            </w:r>
            <w:r w:rsidR="007F63E2" w:rsidRPr="00380DA5">
              <w:rPr>
                <w:szCs w:val="24"/>
                <w:lang w:val="lv-LV"/>
              </w:rPr>
              <w:t>7</w:t>
            </w:r>
            <w:r w:rsidR="00DC25AB">
              <w:rPr>
                <w:szCs w:val="24"/>
                <w:lang w:val="lv-LV"/>
              </w:rPr>
              <w:t>94 960</w:t>
            </w:r>
            <w:r w:rsidR="007F63E2" w:rsidRPr="00380DA5">
              <w:rPr>
                <w:szCs w:val="24"/>
                <w:lang w:val="lv-LV"/>
              </w:rPr>
              <w:t xml:space="preserve"> </w:t>
            </w:r>
            <w:r w:rsidRPr="00380DA5">
              <w:rPr>
                <w:szCs w:val="24"/>
                <w:lang w:val="lv-LV"/>
              </w:rPr>
              <w:t xml:space="preserve">tiks atvēlēti </w:t>
            </w:r>
            <w:r w:rsidR="0010696E">
              <w:rPr>
                <w:szCs w:val="24"/>
                <w:lang w:val="lv-LV"/>
              </w:rPr>
              <w:t>LIAA un</w:t>
            </w:r>
            <w:r w:rsidR="00E42EB2">
              <w:rPr>
                <w:szCs w:val="24"/>
                <w:lang w:val="lv-LV"/>
              </w:rPr>
              <w:t xml:space="preserve"> Ekonomikas ministrijai</w:t>
            </w:r>
            <w:r w:rsidRPr="00380DA5">
              <w:rPr>
                <w:szCs w:val="24"/>
                <w:lang w:val="lv-LV"/>
              </w:rPr>
              <w:t xml:space="preserve"> administratīvo izmaksu segšanai</w:t>
            </w:r>
            <w:r w:rsidR="00E42EB2">
              <w:rPr>
                <w:szCs w:val="24"/>
                <w:lang w:val="lv-LV"/>
              </w:rPr>
              <w:t>;</w:t>
            </w:r>
            <w:r w:rsidR="007F63E2" w:rsidRPr="00380DA5">
              <w:rPr>
                <w:szCs w:val="24"/>
                <w:lang w:val="lv-LV"/>
              </w:rPr>
              <w:t xml:space="preserve"> </w:t>
            </w:r>
            <w:proofErr w:type="spellStart"/>
            <w:r w:rsidR="00DC25AB" w:rsidRPr="00DC25AB">
              <w:rPr>
                <w:i/>
                <w:szCs w:val="24"/>
                <w:lang w:val="lv-LV"/>
              </w:rPr>
              <w:t>euro</w:t>
            </w:r>
            <w:proofErr w:type="spellEnd"/>
            <w:r w:rsidR="00DC25AB">
              <w:rPr>
                <w:szCs w:val="24"/>
                <w:lang w:val="lv-LV"/>
              </w:rPr>
              <w:t xml:space="preserve"> 1 463 </w:t>
            </w:r>
            <w:r w:rsidR="0066276A">
              <w:rPr>
                <w:szCs w:val="24"/>
                <w:lang w:val="lv-LV"/>
              </w:rPr>
              <w:t>6</w:t>
            </w:r>
            <w:r w:rsidR="00DC25AB">
              <w:rPr>
                <w:szCs w:val="24"/>
                <w:lang w:val="lv-LV"/>
              </w:rPr>
              <w:t>00</w:t>
            </w:r>
            <w:r w:rsidR="007F63E2" w:rsidRPr="00380DA5">
              <w:rPr>
                <w:szCs w:val="24"/>
                <w:lang w:val="lv-LV"/>
              </w:rPr>
              <w:t xml:space="preserve"> ir paredzēti </w:t>
            </w:r>
            <w:r w:rsidR="00DC25AB">
              <w:rPr>
                <w:szCs w:val="24"/>
                <w:lang w:val="lv-LV"/>
              </w:rPr>
              <w:t xml:space="preserve">Zaļo </w:t>
            </w:r>
            <w:r w:rsidR="007F63E2" w:rsidRPr="00380DA5">
              <w:rPr>
                <w:szCs w:val="24"/>
                <w:lang w:val="lv-LV"/>
              </w:rPr>
              <w:t>Tehnoloģiju inkubatora administrācijas un vadības izmaksu segšanai</w:t>
            </w:r>
            <w:r w:rsidR="00684B42">
              <w:rPr>
                <w:szCs w:val="24"/>
                <w:lang w:val="lv-LV"/>
              </w:rPr>
              <w:t xml:space="preserve"> un rekonstrukcijas darbiem un iekārtu iegādei</w:t>
            </w:r>
            <w:r w:rsidR="007F63E2" w:rsidRPr="00380DA5">
              <w:rPr>
                <w:szCs w:val="24"/>
                <w:lang w:val="lv-LV"/>
              </w:rPr>
              <w:t xml:space="preserve">. </w:t>
            </w:r>
            <w:r w:rsidR="0010696E">
              <w:rPr>
                <w:szCs w:val="24"/>
                <w:lang w:val="lv-LV"/>
              </w:rPr>
              <w:t>N</w:t>
            </w:r>
            <w:r w:rsidR="007F63E2" w:rsidRPr="00380DA5">
              <w:rPr>
                <w:szCs w:val="24"/>
                <w:lang w:val="lv-LV"/>
              </w:rPr>
              <w:t xml:space="preserve">eliela apjoma grantu shēmas ietvaros  inkubācijas pakalpojumu nodrošināšanai ir paredzēti </w:t>
            </w:r>
            <w:r w:rsidR="00DC25AB">
              <w:rPr>
                <w:szCs w:val="24"/>
                <w:lang w:val="lv-LV"/>
              </w:rPr>
              <w:t xml:space="preserve"> </w:t>
            </w:r>
            <w:proofErr w:type="spellStart"/>
            <w:r w:rsidR="00DC25AB" w:rsidRPr="00DC25AB">
              <w:rPr>
                <w:i/>
                <w:szCs w:val="24"/>
                <w:lang w:val="lv-LV"/>
              </w:rPr>
              <w:t>euro</w:t>
            </w:r>
            <w:proofErr w:type="spellEnd"/>
            <w:r w:rsidR="00DC25AB">
              <w:rPr>
                <w:szCs w:val="24"/>
                <w:lang w:val="lv-LV"/>
              </w:rPr>
              <w:t xml:space="preserve"> 2 265 600</w:t>
            </w:r>
            <w:r w:rsidR="007F63E2" w:rsidRPr="00380DA5">
              <w:rPr>
                <w:szCs w:val="24"/>
                <w:lang w:val="lv-LV"/>
              </w:rPr>
              <w:t xml:space="preserve">. </w:t>
            </w:r>
            <w:r w:rsidR="00FB59FA">
              <w:rPr>
                <w:szCs w:val="24"/>
                <w:lang w:val="lv-LV"/>
              </w:rPr>
              <w:t>Divpusējās sadarbības</w:t>
            </w:r>
            <w:r w:rsidR="00DC25AB">
              <w:rPr>
                <w:szCs w:val="24"/>
                <w:lang w:val="lv-LV"/>
              </w:rPr>
              <w:t xml:space="preserve"> fondam </w:t>
            </w:r>
            <w:r w:rsidR="0010696E" w:rsidRPr="0010696E">
              <w:rPr>
                <w:szCs w:val="24"/>
                <w:lang w:val="lv-LV"/>
              </w:rPr>
              <w:t xml:space="preserve">ir paredzēti </w:t>
            </w:r>
            <w:r w:rsidR="00DC25AB">
              <w:rPr>
                <w:szCs w:val="24"/>
                <w:lang w:val="lv-LV"/>
              </w:rPr>
              <w:t xml:space="preserve"> </w:t>
            </w:r>
            <w:proofErr w:type="spellStart"/>
            <w:r w:rsidR="00DC25AB" w:rsidRPr="00DC25AB">
              <w:rPr>
                <w:i/>
                <w:szCs w:val="24"/>
                <w:lang w:val="lv-LV"/>
              </w:rPr>
              <w:t>euro</w:t>
            </w:r>
            <w:proofErr w:type="spellEnd"/>
            <w:r w:rsidR="0010696E" w:rsidRPr="0010696E">
              <w:rPr>
                <w:szCs w:val="24"/>
                <w:lang w:val="lv-LV"/>
              </w:rPr>
              <w:t xml:space="preserve"> 294 000. </w:t>
            </w:r>
          </w:p>
        </w:tc>
      </w:tr>
      <w:tr w:rsidR="00457DC2" w:rsidRPr="00C040C4" w:rsidTr="009E4EDD">
        <w:trPr>
          <w:trHeight w:val="517"/>
        </w:trPr>
        <w:tc>
          <w:tcPr>
            <w:tcW w:w="523"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4.</w:t>
            </w:r>
          </w:p>
        </w:tc>
        <w:tc>
          <w:tcPr>
            <w:tcW w:w="3036"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Tiesiskā regulējuma nefinansiālā ietekme</w:t>
            </w:r>
          </w:p>
        </w:tc>
        <w:tc>
          <w:tcPr>
            <w:tcW w:w="5542"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9E1111" w:rsidP="00581ADC">
            <w:pPr>
              <w:spacing w:before="75" w:after="75"/>
              <w:ind w:firstLine="425"/>
              <w:jc w:val="both"/>
              <w:rPr>
                <w:szCs w:val="24"/>
                <w:lang w:val="lv-LV"/>
              </w:rPr>
            </w:pPr>
            <w:r w:rsidRPr="00380DA5">
              <w:rPr>
                <w:szCs w:val="24"/>
                <w:lang w:val="lv-LV"/>
              </w:rPr>
              <w:t>Īstenojot Programmu ir sagaidāms, ka tiks radīti inovatīv</w:t>
            </w:r>
            <w:r w:rsidR="00581ADC">
              <w:rPr>
                <w:szCs w:val="24"/>
                <w:lang w:val="lv-LV"/>
              </w:rPr>
              <w:t>i</w:t>
            </w:r>
            <w:r w:rsidRPr="00380DA5">
              <w:rPr>
                <w:szCs w:val="24"/>
                <w:lang w:val="lv-LV"/>
              </w:rPr>
              <w:t xml:space="preserve"> produkti un izstrādātas inovatīvas tehnoloģijas, kas sekmētu videi draudzīgākas, zināšanu ietilpīgas </w:t>
            </w:r>
            <w:r w:rsidR="006C08FC">
              <w:rPr>
                <w:szCs w:val="24"/>
                <w:lang w:val="lv-LV"/>
              </w:rPr>
              <w:t>ražošanas</w:t>
            </w:r>
            <w:r w:rsidRPr="00380DA5">
              <w:rPr>
                <w:szCs w:val="24"/>
                <w:lang w:val="lv-LV"/>
              </w:rPr>
              <w:t xml:space="preserve"> attīstību, kā rezultātā būtu iespējams efektīvāk izmantot esošos dabas un enerģijas resursus un mazināt vides piesārņojumu.</w:t>
            </w:r>
            <w:r w:rsidR="006C08FC">
              <w:rPr>
                <w:szCs w:val="24"/>
                <w:lang w:val="lv-LV"/>
              </w:rPr>
              <w:t xml:space="preserve"> Papildus ir sagaidāms, ka Programmas īstenošana veicinās </w:t>
            </w:r>
            <w:r w:rsidR="00581ADC" w:rsidRPr="00A73125">
              <w:rPr>
                <w:lang w:val="lv-LV"/>
              </w:rPr>
              <w:t>jaunu „zaļo” darba vietu radīšanu un esošo saglabāšanu un veido</w:t>
            </w:r>
            <w:r w:rsidR="00581ADC">
              <w:rPr>
                <w:lang w:val="lv-LV"/>
              </w:rPr>
              <w:t>s</w:t>
            </w:r>
            <w:r w:rsidR="00581ADC" w:rsidRPr="00A73125">
              <w:rPr>
                <w:lang w:val="lv-LV"/>
              </w:rPr>
              <w:t xml:space="preserve"> pamatu stabilai un ilgtspējīgai „zaļo” nozaru attīstībai Latvijā.</w:t>
            </w:r>
            <w:r w:rsidR="006C08FC">
              <w:rPr>
                <w:szCs w:val="24"/>
                <w:lang w:val="lv-LV"/>
              </w:rPr>
              <w:t xml:space="preserve"> </w:t>
            </w:r>
          </w:p>
        </w:tc>
      </w:tr>
      <w:tr w:rsidR="00457DC2" w:rsidRPr="00C040C4" w:rsidTr="009E4EDD">
        <w:trPr>
          <w:trHeight w:val="531"/>
        </w:trPr>
        <w:tc>
          <w:tcPr>
            <w:tcW w:w="523"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5.</w:t>
            </w:r>
          </w:p>
        </w:tc>
        <w:tc>
          <w:tcPr>
            <w:tcW w:w="3036"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Administratīvās procedūras raksturojums</w:t>
            </w:r>
          </w:p>
        </w:tc>
        <w:tc>
          <w:tcPr>
            <w:tcW w:w="5542" w:type="dxa"/>
            <w:tcBorders>
              <w:top w:val="thickThinLargeGap" w:sz="6" w:space="0" w:color="C0C0C0"/>
              <w:left w:val="thickThinLargeGap" w:sz="6" w:space="0" w:color="C0C0C0"/>
              <w:bottom w:val="thickThinLargeGap" w:sz="6" w:space="0" w:color="C0C0C0"/>
              <w:right w:val="thickThinLargeGap" w:sz="6" w:space="0" w:color="C0C0C0"/>
            </w:tcBorders>
            <w:hideMark/>
          </w:tcPr>
          <w:p w:rsidR="00FD716E" w:rsidRPr="00C071BE" w:rsidRDefault="005C4371" w:rsidP="00A209C3">
            <w:pPr>
              <w:ind w:firstLine="425"/>
              <w:jc w:val="both"/>
              <w:rPr>
                <w:szCs w:val="24"/>
                <w:lang w:val="lv-LV"/>
              </w:rPr>
            </w:pPr>
            <w:r w:rsidRPr="00C071BE">
              <w:rPr>
                <w:szCs w:val="24"/>
                <w:lang w:val="lv-LV"/>
              </w:rPr>
              <w:t>Normatīvā akta projektā</w:t>
            </w:r>
            <w:r w:rsidR="00A209C3" w:rsidRPr="00C071BE">
              <w:rPr>
                <w:szCs w:val="24"/>
                <w:lang w:val="lv-LV"/>
              </w:rPr>
              <w:t xml:space="preserve"> noteikts, ka iepriekš noteiktā projekta iesniegumu vai neliela apjoma grantu shēmas projekta iesniegumu var iesniegt  </w:t>
            </w:r>
            <w:r w:rsidR="00FD716E" w:rsidRPr="00C071BE">
              <w:rPr>
                <w:szCs w:val="24"/>
                <w:lang w:val="lv-LV"/>
              </w:rPr>
              <w:t>vienā no šādiem dokumentu iesniegšanas veidiem:</w:t>
            </w:r>
          </w:p>
          <w:p w:rsidR="00381DF2" w:rsidRPr="00C071BE" w:rsidRDefault="00A209C3" w:rsidP="00FD716E">
            <w:pPr>
              <w:pStyle w:val="ListParagraph"/>
              <w:numPr>
                <w:ilvl w:val="0"/>
                <w:numId w:val="4"/>
              </w:numPr>
              <w:jc w:val="both"/>
              <w:rPr>
                <w:szCs w:val="24"/>
                <w:lang w:val="lv-LV"/>
              </w:rPr>
            </w:pPr>
            <w:r w:rsidRPr="00C071BE">
              <w:rPr>
                <w:szCs w:val="24"/>
                <w:lang w:val="lv-LV"/>
              </w:rPr>
              <w:t>papīra formā</w:t>
            </w:r>
            <w:r w:rsidR="00FD716E" w:rsidRPr="00C071BE">
              <w:rPr>
                <w:szCs w:val="24"/>
                <w:lang w:val="lv-LV"/>
              </w:rPr>
              <w:t xml:space="preserve">, iesniedzot LIAA personīgi vai </w:t>
            </w:r>
            <w:r w:rsidR="00FD716E" w:rsidRPr="00C071BE">
              <w:rPr>
                <w:szCs w:val="24"/>
                <w:lang w:val="lv-LV"/>
              </w:rPr>
              <w:lastRenderedPageBreak/>
              <w:t xml:space="preserve">nosūtot pa pastu uz </w:t>
            </w:r>
            <w:r w:rsidR="00381DF2" w:rsidRPr="00C071BE">
              <w:rPr>
                <w:szCs w:val="24"/>
                <w:lang w:val="lv-LV"/>
              </w:rPr>
              <w:t>LIAA</w:t>
            </w:r>
            <w:r w:rsidR="00FD716E" w:rsidRPr="00C071BE">
              <w:rPr>
                <w:szCs w:val="24"/>
                <w:lang w:val="lv-LV"/>
              </w:rPr>
              <w:t xml:space="preserve"> pasta adresi. Ja projekta iesnieguma iesniedzējs izvēlas šo dokumentu iesniegšanas veidu, tas </w:t>
            </w:r>
            <w:r w:rsidR="00381DF2" w:rsidRPr="00C071BE">
              <w:rPr>
                <w:szCs w:val="24"/>
                <w:lang w:val="lv-LV"/>
              </w:rPr>
              <w:t>aizpildītu projekta iesnieguma veidlapu un biznesa plānu</w:t>
            </w:r>
            <w:r w:rsidR="00FD716E" w:rsidRPr="00C071BE">
              <w:rPr>
                <w:szCs w:val="24"/>
                <w:lang w:val="lv-LV"/>
              </w:rPr>
              <w:t xml:space="preserve"> </w:t>
            </w:r>
            <w:r w:rsidR="00381DF2" w:rsidRPr="00C071BE">
              <w:rPr>
                <w:szCs w:val="24"/>
                <w:lang w:val="lv-LV"/>
              </w:rPr>
              <w:t xml:space="preserve">DOC, XLS vai PDF datņu formātā iesniedz arī elektroniskā formā, bez elektroniskā paraksta nosūtot tos uz </w:t>
            </w:r>
            <w:r w:rsidRPr="00C071BE">
              <w:rPr>
                <w:szCs w:val="24"/>
                <w:lang w:val="lv-LV"/>
              </w:rPr>
              <w:t xml:space="preserve"> </w:t>
            </w:r>
            <w:r w:rsidR="00381DF2" w:rsidRPr="00C071BE">
              <w:rPr>
                <w:szCs w:val="24"/>
                <w:lang w:val="lv-LV"/>
              </w:rPr>
              <w:t>LIAA oficiālo elektroniskā pasta adresi vai izmantojot citus elektronisko dokumentu apritei izmantojamos datu nesējus;</w:t>
            </w:r>
          </w:p>
          <w:p w:rsidR="006D01C3" w:rsidRPr="00C071BE" w:rsidRDefault="00A209C3" w:rsidP="00FD716E">
            <w:pPr>
              <w:pStyle w:val="ListParagraph"/>
              <w:numPr>
                <w:ilvl w:val="0"/>
                <w:numId w:val="4"/>
              </w:numPr>
              <w:jc w:val="both"/>
              <w:rPr>
                <w:szCs w:val="24"/>
                <w:lang w:val="lv-LV"/>
              </w:rPr>
            </w:pPr>
            <w:r w:rsidRPr="00C071BE">
              <w:rPr>
                <w:szCs w:val="24"/>
                <w:lang w:val="lv-LV"/>
              </w:rPr>
              <w:t>elektronisk</w:t>
            </w:r>
            <w:r w:rsidR="00381DF2" w:rsidRPr="00C071BE">
              <w:rPr>
                <w:szCs w:val="24"/>
                <w:lang w:val="lv-LV"/>
              </w:rPr>
              <w:t>ā</w:t>
            </w:r>
            <w:r w:rsidRPr="00C071BE">
              <w:rPr>
                <w:szCs w:val="24"/>
                <w:lang w:val="lv-LV"/>
              </w:rPr>
              <w:t xml:space="preserve"> formā, </w:t>
            </w:r>
            <w:r w:rsidR="00381DF2" w:rsidRPr="00C071BE">
              <w:rPr>
                <w:szCs w:val="24"/>
                <w:lang w:val="lv-LV"/>
              </w:rPr>
              <w:t xml:space="preserve">ja tas ir noformēts atbilstoši </w:t>
            </w:r>
            <w:r w:rsidR="00192EF1" w:rsidRPr="00C071BE">
              <w:rPr>
                <w:szCs w:val="24"/>
                <w:lang w:val="lv-LV"/>
              </w:rPr>
              <w:t>e</w:t>
            </w:r>
            <w:r w:rsidR="006D01C3" w:rsidRPr="00C071BE">
              <w:rPr>
                <w:szCs w:val="24"/>
                <w:lang w:val="lv-LV"/>
              </w:rPr>
              <w:t xml:space="preserve">-dokumentu noformēšanas prasībām un parakstīts normatīvajos aktos noteiktajā kārtībā, nosūtot </w:t>
            </w:r>
            <w:r w:rsidRPr="00C071BE">
              <w:rPr>
                <w:szCs w:val="24"/>
                <w:lang w:val="lv-LV"/>
              </w:rPr>
              <w:t xml:space="preserve">uz </w:t>
            </w:r>
            <w:r w:rsidR="006D01C3" w:rsidRPr="00C071BE">
              <w:rPr>
                <w:szCs w:val="24"/>
                <w:lang w:val="lv-LV"/>
              </w:rPr>
              <w:t>LIAA</w:t>
            </w:r>
            <w:r w:rsidR="00FD716E" w:rsidRPr="00C071BE">
              <w:rPr>
                <w:szCs w:val="24"/>
                <w:lang w:val="lv-LV"/>
              </w:rPr>
              <w:t xml:space="preserve"> </w:t>
            </w:r>
            <w:r w:rsidR="006D01C3" w:rsidRPr="00C071BE">
              <w:rPr>
                <w:szCs w:val="24"/>
                <w:lang w:val="lv-LV"/>
              </w:rPr>
              <w:t>elektroniskā pasta adresi, kas norādīta uzaicinājumā iesniegt iepriekš noteiktā projekta iesniegumu vai sludinājumā par neliela apjoma grantu shēmas projektu iesniegumu atlases uzsākšanu.</w:t>
            </w:r>
          </w:p>
          <w:p w:rsidR="00A209C3" w:rsidRPr="00C071BE" w:rsidRDefault="00A209C3" w:rsidP="006D01C3">
            <w:pPr>
              <w:ind w:firstLine="425"/>
              <w:jc w:val="both"/>
              <w:rPr>
                <w:szCs w:val="24"/>
                <w:lang w:val="lv-LV"/>
              </w:rPr>
            </w:pPr>
            <w:r w:rsidRPr="00C071BE">
              <w:rPr>
                <w:szCs w:val="24"/>
                <w:lang w:val="lv-LV"/>
              </w:rPr>
              <w:t xml:space="preserve"> Savukārt, pieteikumu dalībai divpusējās sadarbības atbalsta pasākumā iesniedz elektroniski, nosūtot to uz </w:t>
            </w:r>
            <w:r w:rsidR="00632F16" w:rsidRPr="00C071BE">
              <w:rPr>
                <w:szCs w:val="24"/>
                <w:lang w:val="lv-LV"/>
              </w:rPr>
              <w:t>LIAA</w:t>
            </w:r>
            <w:r w:rsidRPr="00C071BE">
              <w:rPr>
                <w:szCs w:val="24"/>
                <w:lang w:val="lv-LV"/>
              </w:rPr>
              <w:t xml:space="preserve"> elektroniskā pasta adresi: NOR</w:t>
            </w:r>
            <w:r w:rsidR="00FD716E" w:rsidRPr="00C071BE">
              <w:rPr>
                <w:szCs w:val="24"/>
                <w:lang w:val="lv-LV"/>
              </w:rPr>
              <w:t>.</w:t>
            </w:r>
            <w:r w:rsidRPr="00C071BE">
              <w:rPr>
                <w:szCs w:val="24"/>
                <w:lang w:val="lv-LV"/>
              </w:rPr>
              <w:t xml:space="preserve">projekti@liaa.gov.lv  </w:t>
            </w:r>
          </w:p>
          <w:p w:rsidR="00A209C3" w:rsidRPr="00C071BE" w:rsidRDefault="00A209C3" w:rsidP="00A209C3">
            <w:pPr>
              <w:ind w:firstLine="425"/>
              <w:jc w:val="both"/>
              <w:rPr>
                <w:szCs w:val="24"/>
                <w:lang w:val="lv-LV"/>
              </w:rPr>
            </w:pPr>
            <w:r w:rsidRPr="00C071BE">
              <w:rPr>
                <w:szCs w:val="24"/>
                <w:lang w:val="lv-LV"/>
              </w:rPr>
              <w:t xml:space="preserve">Veicot iepriekš noteiktā projekta iesnieguma un neliela apjoma grantu shēmas projekta iesnieguma vērtēšanu, </w:t>
            </w:r>
            <w:r w:rsidR="00632F16" w:rsidRPr="00C071BE">
              <w:rPr>
                <w:szCs w:val="24"/>
                <w:lang w:val="lv-LV"/>
              </w:rPr>
              <w:t>LIAA</w:t>
            </w:r>
            <w:r w:rsidRPr="00C071BE">
              <w:rPr>
                <w:szCs w:val="24"/>
                <w:lang w:val="lv-LV"/>
              </w:rPr>
              <w:t xml:space="preserve"> pieprasa informāciju Valsts ieņēmumu dienestam par projekta iesniedzēju nodokļu parādu vai valsts sociālās apdrošināšanas obligāto iemaksu parādu neesamību, ja šāda izziņa netiek iesniegta vienlaicīgi ar projekta iesniegumu. </w:t>
            </w:r>
          </w:p>
          <w:p w:rsidR="00A209C3" w:rsidRPr="00C071BE" w:rsidRDefault="00A209C3" w:rsidP="00A209C3">
            <w:pPr>
              <w:ind w:firstLine="425"/>
              <w:jc w:val="both"/>
              <w:rPr>
                <w:szCs w:val="24"/>
                <w:lang w:val="lv-LV"/>
              </w:rPr>
            </w:pPr>
            <w:r w:rsidRPr="00C071BE">
              <w:rPr>
                <w:szCs w:val="24"/>
                <w:lang w:val="lv-LV"/>
              </w:rPr>
              <w:t>Iepriekš noteiktā projekta iesnieguma iesniedzējam vai neliela apjoma grantu shēmas projekta iesnieguma iesniedzējam projekta līgums jānoslēdz 40 darbdienu laikā pēc lēmuma par projekta apstiprināšanu pieņemšanas vai dienas, kad parakstīts atzinums par lēmumā ietverto nosacījumu izpildi</w:t>
            </w:r>
            <w:r w:rsidR="007E4710" w:rsidRPr="00C071BE">
              <w:rPr>
                <w:szCs w:val="24"/>
                <w:lang w:val="lv-LV"/>
              </w:rPr>
              <w:t>, vai sniegts atzinums par pozitīvu iepriekš noteiktā projekta novērtējumu.</w:t>
            </w:r>
            <w:r w:rsidRPr="00C071BE">
              <w:rPr>
                <w:szCs w:val="24"/>
                <w:lang w:val="lv-LV"/>
              </w:rPr>
              <w:t xml:space="preserve"> Attiecībā uz iepriekš noteiktā projekta iesnieguma iesniedzēju šo termiņu pagarina par termiņu, kādā Finanšu instrument</w:t>
            </w:r>
            <w:r w:rsidR="00FD716E" w:rsidRPr="00C071BE">
              <w:rPr>
                <w:szCs w:val="24"/>
                <w:lang w:val="lv-LV"/>
              </w:rPr>
              <w:t>a</w:t>
            </w:r>
            <w:r w:rsidRPr="00C071BE">
              <w:rPr>
                <w:szCs w:val="24"/>
                <w:lang w:val="lv-LV"/>
              </w:rPr>
              <w:t xml:space="preserve"> birojs sniedz apstiprinājumu par iepriekš noteiktā projekta un neliela apjoma grantu shēmas atbilstību.</w:t>
            </w:r>
          </w:p>
          <w:p w:rsidR="00A209C3" w:rsidRPr="00C071BE" w:rsidRDefault="00A209C3" w:rsidP="00A209C3">
            <w:pPr>
              <w:ind w:firstLine="425"/>
              <w:jc w:val="both"/>
              <w:rPr>
                <w:szCs w:val="24"/>
                <w:lang w:val="lv-LV"/>
              </w:rPr>
            </w:pPr>
            <w:r w:rsidRPr="00C071BE">
              <w:rPr>
                <w:szCs w:val="24"/>
                <w:lang w:val="lv-LV"/>
              </w:rPr>
              <w:t xml:space="preserve">Ja iepriekš noteiktā projekta iesnieguma iesniegšanas noteiktajā termiņā iepriekš noteiktā projekta iesniegums netiek iesniegts vai </w:t>
            </w:r>
            <w:r w:rsidR="007E4710" w:rsidRPr="00C071BE">
              <w:rPr>
                <w:szCs w:val="24"/>
                <w:lang w:val="lv-LV"/>
              </w:rPr>
              <w:t>t</w:t>
            </w:r>
            <w:r w:rsidRPr="00C071BE">
              <w:rPr>
                <w:szCs w:val="24"/>
                <w:lang w:val="lv-LV"/>
              </w:rPr>
              <w:t xml:space="preserve">iek iesniegts, bet tiek </w:t>
            </w:r>
            <w:r w:rsidR="007E4710" w:rsidRPr="00C071BE">
              <w:rPr>
                <w:szCs w:val="24"/>
                <w:lang w:val="lv-LV"/>
              </w:rPr>
              <w:t>sniegts negatīvs novērtējums par iepriekš noteiktā projekta iesniegumu</w:t>
            </w:r>
            <w:r w:rsidRPr="00C071BE">
              <w:rPr>
                <w:szCs w:val="24"/>
                <w:lang w:val="lv-LV"/>
              </w:rPr>
              <w:t>,</w:t>
            </w:r>
            <w:r w:rsidR="007E4710" w:rsidRPr="00C071BE">
              <w:rPr>
                <w:szCs w:val="24"/>
                <w:lang w:val="lv-LV"/>
              </w:rPr>
              <w:t xml:space="preserve"> n</w:t>
            </w:r>
            <w:r w:rsidR="005C4371" w:rsidRPr="00C071BE">
              <w:rPr>
                <w:szCs w:val="24"/>
                <w:lang w:val="lv-LV"/>
              </w:rPr>
              <w:t>ormatīvā akta projekts</w:t>
            </w:r>
            <w:r w:rsidRPr="00C071BE">
              <w:rPr>
                <w:szCs w:val="24"/>
                <w:lang w:val="lv-LV"/>
              </w:rPr>
              <w:t xml:space="preserve"> nosaka atkārtotu iepriekš noteiktā projekta iesnieguma iesniegšanas kārtību un vērtēšanu.</w:t>
            </w:r>
          </w:p>
          <w:p w:rsidR="00A209C3" w:rsidRPr="00C071BE" w:rsidRDefault="005C4371" w:rsidP="00A209C3">
            <w:pPr>
              <w:ind w:firstLine="425"/>
              <w:jc w:val="both"/>
              <w:rPr>
                <w:szCs w:val="24"/>
                <w:lang w:val="lv-LV"/>
              </w:rPr>
            </w:pPr>
            <w:r w:rsidRPr="00C071BE">
              <w:rPr>
                <w:szCs w:val="24"/>
                <w:lang w:val="lv-LV"/>
              </w:rPr>
              <w:t>Normatīvā akta projektā</w:t>
            </w:r>
            <w:r w:rsidR="00A209C3" w:rsidRPr="00C071BE">
              <w:rPr>
                <w:szCs w:val="24"/>
                <w:lang w:val="lv-LV"/>
              </w:rPr>
              <w:t xml:space="preserve"> noteikta arī vispārīga kārtība, kādā iepriekš noteiktā projekta līdzfinansējuma saņēmējam tiek ieskaitīts avanss  un tiesības programmas apsaimniekotājam vai aģentūrai lemt par </w:t>
            </w:r>
            <w:r w:rsidR="00A209C3" w:rsidRPr="00C071BE">
              <w:rPr>
                <w:szCs w:val="24"/>
                <w:lang w:val="lv-LV"/>
              </w:rPr>
              <w:lastRenderedPageBreak/>
              <w:t>avansa atmaksu. Noteikt</w:t>
            </w:r>
            <w:r w:rsidR="00FD716E" w:rsidRPr="00C071BE">
              <w:rPr>
                <w:szCs w:val="24"/>
                <w:lang w:val="lv-LV"/>
              </w:rPr>
              <w:t>s</w:t>
            </w:r>
            <w:r w:rsidR="00A209C3" w:rsidRPr="00C071BE">
              <w:rPr>
                <w:szCs w:val="24"/>
                <w:lang w:val="lv-LV"/>
              </w:rPr>
              <w:t xml:space="preserve"> arī </w:t>
            </w:r>
            <w:r w:rsidR="00FD716E" w:rsidRPr="00C071BE">
              <w:rPr>
                <w:szCs w:val="24"/>
                <w:lang w:val="lv-LV"/>
              </w:rPr>
              <w:t>termiņš</w:t>
            </w:r>
            <w:r w:rsidR="00A209C3" w:rsidRPr="00C071BE">
              <w:rPr>
                <w:szCs w:val="24"/>
                <w:lang w:val="lv-LV"/>
              </w:rPr>
              <w:t xml:space="preserve"> iepriekš noteiktā projekta starpposma pārskatu un noslēguma pārskatu iesniegšanai. </w:t>
            </w:r>
          </w:p>
          <w:p w:rsidR="00A209C3" w:rsidRPr="00C071BE" w:rsidRDefault="005C4371" w:rsidP="00A209C3">
            <w:pPr>
              <w:ind w:firstLine="425"/>
              <w:jc w:val="both"/>
              <w:rPr>
                <w:szCs w:val="24"/>
                <w:lang w:val="lv-LV"/>
              </w:rPr>
            </w:pPr>
            <w:r w:rsidRPr="00C071BE">
              <w:rPr>
                <w:szCs w:val="24"/>
                <w:lang w:val="lv-LV"/>
              </w:rPr>
              <w:t>Normatīvā akta projektā</w:t>
            </w:r>
            <w:r w:rsidR="00A209C3" w:rsidRPr="00C071BE">
              <w:rPr>
                <w:szCs w:val="24"/>
                <w:lang w:val="lv-LV"/>
              </w:rPr>
              <w:t xml:space="preserve"> noteikta kārtība, kādā divpusējās sadarbības atbalsta saņemšanai tiek iesniegti ar pasākumu īstenošanu saistītie  izmaksu pamatojošie dokumenti vai </w:t>
            </w:r>
            <w:r w:rsidRPr="00C071BE">
              <w:rPr>
                <w:szCs w:val="24"/>
                <w:lang w:val="lv-LV"/>
              </w:rPr>
              <w:t xml:space="preserve">projekta partnerības </w:t>
            </w:r>
            <w:r w:rsidR="00A209C3" w:rsidRPr="00C071BE">
              <w:rPr>
                <w:szCs w:val="24"/>
                <w:lang w:val="lv-LV"/>
              </w:rPr>
              <w:t xml:space="preserve">līgums ar </w:t>
            </w:r>
            <w:proofErr w:type="spellStart"/>
            <w:r w:rsidR="00A209C3" w:rsidRPr="00C071BE">
              <w:rPr>
                <w:szCs w:val="24"/>
                <w:lang w:val="lv-LV"/>
              </w:rPr>
              <w:t>donorvalsts</w:t>
            </w:r>
            <w:proofErr w:type="spellEnd"/>
            <w:r w:rsidR="00A209C3" w:rsidRPr="00C071BE">
              <w:rPr>
                <w:szCs w:val="24"/>
                <w:lang w:val="lv-LV"/>
              </w:rPr>
              <w:t xml:space="preserve"> partneri</w:t>
            </w:r>
            <w:r w:rsidR="00E241CB" w:rsidRPr="00C071BE">
              <w:rPr>
                <w:szCs w:val="24"/>
                <w:lang w:val="lv-LV"/>
              </w:rPr>
              <w:t>,</w:t>
            </w:r>
            <w:r w:rsidR="00A209C3" w:rsidRPr="00C071BE">
              <w:rPr>
                <w:szCs w:val="24"/>
                <w:lang w:val="lv-LV"/>
              </w:rPr>
              <w:t xml:space="preserve"> vai nodomu vēstule kopīgai projekta iesnieguma iesniegšanai. Lai veicinātu finansējuma savlaicīgu apg</w:t>
            </w:r>
            <w:r w:rsidR="00FD716E" w:rsidRPr="00C071BE">
              <w:rPr>
                <w:szCs w:val="24"/>
                <w:lang w:val="lv-LV"/>
              </w:rPr>
              <w:t>uvi,</w:t>
            </w:r>
            <w:r w:rsidR="00A209C3" w:rsidRPr="00C071BE">
              <w:rPr>
                <w:szCs w:val="24"/>
                <w:lang w:val="lv-LV"/>
              </w:rPr>
              <w:t xml:space="preserve"> minēto dokumentu iesniegšanai </w:t>
            </w:r>
            <w:r w:rsidR="00632F16" w:rsidRPr="00C071BE">
              <w:rPr>
                <w:szCs w:val="24"/>
                <w:lang w:val="lv-LV"/>
              </w:rPr>
              <w:t>LIAA</w:t>
            </w:r>
            <w:r w:rsidR="00A209C3" w:rsidRPr="00C071BE">
              <w:rPr>
                <w:szCs w:val="24"/>
                <w:lang w:val="lv-LV"/>
              </w:rPr>
              <w:t xml:space="preserve"> noteikts 30 darba dienu termiņš. </w:t>
            </w:r>
          </w:p>
          <w:p w:rsidR="00A209C3" w:rsidRPr="00C071BE" w:rsidRDefault="005C4371" w:rsidP="00A209C3">
            <w:pPr>
              <w:ind w:firstLine="425"/>
              <w:jc w:val="both"/>
              <w:rPr>
                <w:szCs w:val="24"/>
                <w:lang w:val="lv-LV"/>
              </w:rPr>
            </w:pPr>
            <w:r w:rsidRPr="00C071BE">
              <w:rPr>
                <w:szCs w:val="24"/>
                <w:lang w:val="lv-LV"/>
              </w:rPr>
              <w:t>Normatīvā akta projekts</w:t>
            </w:r>
            <w:r w:rsidR="00A209C3" w:rsidRPr="00C071BE">
              <w:rPr>
                <w:szCs w:val="24"/>
                <w:lang w:val="lv-LV"/>
              </w:rPr>
              <w:t xml:space="preserve"> nosaka kārtību, kādā neliela apjoma grantu shēmas projekta līdzfinansējuma saņēmējs var pretendēt uz atkārtotu dalību neliela apjoma grantu shēmas projekta īstenošanai otrajā un nākamajos gados. </w:t>
            </w:r>
          </w:p>
          <w:p w:rsidR="00457DC2" w:rsidRPr="00380DA5" w:rsidRDefault="005C4371" w:rsidP="00A209C3">
            <w:pPr>
              <w:ind w:firstLine="425"/>
              <w:jc w:val="both"/>
              <w:rPr>
                <w:szCs w:val="24"/>
                <w:lang w:val="lv-LV"/>
              </w:rPr>
            </w:pPr>
            <w:r w:rsidRPr="00C071BE">
              <w:rPr>
                <w:szCs w:val="24"/>
                <w:lang w:val="lv-LV"/>
              </w:rPr>
              <w:t>Normatīvā akta projekts</w:t>
            </w:r>
            <w:r w:rsidR="00A209C3" w:rsidRPr="00C071BE">
              <w:rPr>
                <w:szCs w:val="24"/>
                <w:lang w:val="lv-LV"/>
              </w:rPr>
              <w:t xml:space="preserve"> nosaka iepriekš noteiktā projekta iesniedzēja un neliela apjoma grantu shēmas projekta iesniedzēja pienākumu, ja projektu apstiprina,  uzglabāt ar projektu īstenošanu saistīto dokumentāciju piecus gadus pēc projekta noslēguma pārskata apstiprināšanas.</w:t>
            </w:r>
          </w:p>
        </w:tc>
      </w:tr>
      <w:tr w:rsidR="00457DC2" w:rsidRPr="00380DA5" w:rsidTr="009E4EDD">
        <w:trPr>
          <w:trHeight w:val="357"/>
        </w:trPr>
        <w:tc>
          <w:tcPr>
            <w:tcW w:w="523"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lastRenderedPageBreak/>
              <w:t> 6.</w:t>
            </w:r>
          </w:p>
        </w:tc>
        <w:tc>
          <w:tcPr>
            <w:tcW w:w="3036"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Administratīvo izmaksu monetārs novērtējums</w:t>
            </w:r>
          </w:p>
        </w:tc>
        <w:tc>
          <w:tcPr>
            <w:tcW w:w="5542"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rsidP="00D73C9B">
            <w:pPr>
              <w:spacing w:before="75" w:after="75"/>
              <w:ind w:firstLine="425"/>
              <w:rPr>
                <w:szCs w:val="24"/>
                <w:lang w:val="lv-LV"/>
              </w:rPr>
            </w:pPr>
            <w:r w:rsidRPr="00380DA5">
              <w:rPr>
                <w:szCs w:val="24"/>
                <w:lang w:val="lv-LV"/>
              </w:rPr>
              <w:t>Projekts šo jomu neskar.</w:t>
            </w:r>
          </w:p>
        </w:tc>
      </w:tr>
      <w:tr w:rsidR="00457DC2" w:rsidRPr="00380DA5" w:rsidTr="009E4EDD">
        <w:tc>
          <w:tcPr>
            <w:tcW w:w="523"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7.</w:t>
            </w:r>
          </w:p>
        </w:tc>
        <w:tc>
          <w:tcPr>
            <w:tcW w:w="3036"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Cita informācija</w:t>
            </w:r>
          </w:p>
        </w:tc>
        <w:tc>
          <w:tcPr>
            <w:tcW w:w="5542"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rsidP="00D73C9B">
            <w:pPr>
              <w:spacing w:before="75" w:after="75"/>
              <w:ind w:firstLine="425"/>
              <w:rPr>
                <w:szCs w:val="24"/>
                <w:lang w:val="lv-LV"/>
              </w:rPr>
            </w:pPr>
            <w:r w:rsidRPr="00380DA5">
              <w:rPr>
                <w:szCs w:val="24"/>
                <w:lang w:val="lv-LV"/>
              </w:rPr>
              <w:t> Nav.</w:t>
            </w:r>
          </w:p>
        </w:tc>
      </w:tr>
    </w:tbl>
    <w:p w:rsidR="00457DC2" w:rsidRPr="00380DA5" w:rsidRDefault="00457DC2">
      <w:pPr>
        <w:spacing w:after="60"/>
        <w:rPr>
          <w:szCs w:val="24"/>
          <w:lang w:val="lv-LV"/>
        </w:rPr>
      </w:pPr>
      <w:r w:rsidRPr="00380DA5">
        <w:rPr>
          <w:szCs w:val="24"/>
          <w:lang w:val="lv-LV"/>
        </w:rPr>
        <w:t> </w:t>
      </w:r>
    </w:p>
    <w:tbl>
      <w:tblPr>
        <w:tblW w:w="5041" w:type="pct"/>
        <w:tblInd w:w="-38" w:type="dxa"/>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Layout w:type="fixed"/>
        <w:tblCellMar>
          <w:top w:w="105" w:type="dxa"/>
          <w:left w:w="105" w:type="dxa"/>
          <w:bottom w:w="105" w:type="dxa"/>
          <w:right w:w="105" w:type="dxa"/>
        </w:tblCellMar>
        <w:tblLook w:val="0000" w:firstRow="0" w:lastRow="0" w:firstColumn="0" w:lastColumn="0" w:noHBand="0" w:noVBand="0"/>
      </w:tblPr>
      <w:tblGrid>
        <w:gridCol w:w="2701"/>
        <w:gridCol w:w="1375"/>
        <w:gridCol w:w="1355"/>
        <w:gridCol w:w="1233"/>
        <w:gridCol w:w="1276"/>
        <w:gridCol w:w="1417"/>
      </w:tblGrid>
      <w:tr w:rsidR="00380DA5" w:rsidRPr="00C040C4" w:rsidTr="007532BC">
        <w:trPr>
          <w:trHeight w:val="432"/>
        </w:trPr>
        <w:tc>
          <w:tcPr>
            <w:tcW w:w="5000" w:type="pct"/>
            <w:gridSpan w:val="6"/>
            <w:vAlign w:val="center"/>
          </w:tcPr>
          <w:p w:rsidR="00380DA5" w:rsidRPr="00380DA5" w:rsidRDefault="00380DA5" w:rsidP="007532BC">
            <w:pPr>
              <w:jc w:val="center"/>
              <w:rPr>
                <w:b/>
                <w:szCs w:val="24"/>
                <w:lang w:val="lv-LV"/>
              </w:rPr>
            </w:pPr>
            <w:r w:rsidRPr="00380DA5">
              <w:rPr>
                <w:b/>
                <w:szCs w:val="24"/>
                <w:lang w:val="lv-LV"/>
              </w:rPr>
              <w:br w:type="page"/>
              <w:t>III. Tiesību akta projekta ietekme uz valsts budžetu un pašvaldību budžetiem</w:t>
            </w:r>
          </w:p>
        </w:tc>
      </w:tr>
      <w:tr w:rsidR="00380DA5" w:rsidRPr="00380DA5" w:rsidTr="00D74A1E">
        <w:tblPrEx>
          <w:jc w:val="center"/>
          <w:tblCellMar>
            <w:top w:w="0" w:type="dxa"/>
            <w:left w:w="108" w:type="dxa"/>
            <w:bottom w:w="0" w:type="dxa"/>
            <w:right w:w="108" w:type="dxa"/>
          </w:tblCellMar>
          <w:tblLook w:val="01E0" w:firstRow="1" w:lastRow="1" w:firstColumn="1" w:lastColumn="1" w:noHBand="0" w:noVBand="0"/>
        </w:tblPrEx>
        <w:trPr>
          <w:jc w:val="center"/>
        </w:trPr>
        <w:tc>
          <w:tcPr>
            <w:tcW w:w="1443" w:type="pct"/>
            <w:vMerge w:val="restart"/>
            <w:vAlign w:val="center"/>
          </w:tcPr>
          <w:p w:rsidR="00380DA5" w:rsidRPr="00380DA5" w:rsidRDefault="00380DA5" w:rsidP="007532BC">
            <w:pPr>
              <w:pStyle w:val="naisf"/>
              <w:spacing w:before="0" w:after="0"/>
              <w:jc w:val="center"/>
              <w:rPr>
                <w:b/>
                <w:szCs w:val="24"/>
              </w:rPr>
            </w:pPr>
            <w:r w:rsidRPr="00380DA5">
              <w:rPr>
                <w:b/>
                <w:szCs w:val="24"/>
              </w:rPr>
              <w:t>Rādītāji</w:t>
            </w:r>
          </w:p>
        </w:tc>
        <w:tc>
          <w:tcPr>
            <w:tcW w:w="1459" w:type="pct"/>
            <w:gridSpan w:val="2"/>
            <w:vMerge w:val="restart"/>
            <w:vAlign w:val="center"/>
          </w:tcPr>
          <w:p w:rsidR="00380DA5" w:rsidRPr="00380DA5" w:rsidRDefault="00380DA5" w:rsidP="00380DA5">
            <w:pPr>
              <w:pStyle w:val="naisf"/>
              <w:spacing w:before="0" w:after="0"/>
              <w:jc w:val="center"/>
              <w:rPr>
                <w:b/>
                <w:szCs w:val="24"/>
              </w:rPr>
            </w:pPr>
            <w:r w:rsidRPr="00380DA5">
              <w:rPr>
                <w:b/>
                <w:szCs w:val="24"/>
              </w:rPr>
              <w:t>2012.</w:t>
            </w:r>
          </w:p>
        </w:tc>
        <w:tc>
          <w:tcPr>
            <w:tcW w:w="2098" w:type="pct"/>
            <w:gridSpan w:val="3"/>
            <w:vAlign w:val="center"/>
          </w:tcPr>
          <w:p w:rsidR="00380DA5" w:rsidRPr="00380DA5" w:rsidRDefault="00380DA5" w:rsidP="007532BC">
            <w:pPr>
              <w:pStyle w:val="naisf"/>
              <w:spacing w:before="0" w:after="0"/>
              <w:jc w:val="center"/>
              <w:rPr>
                <w:b/>
                <w:i/>
                <w:szCs w:val="24"/>
              </w:rPr>
            </w:pPr>
            <w:r w:rsidRPr="00380DA5">
              <w:rPr>
                <w:szCs w:val="24"/>
              </w:rPr>
              <w:t>Turpmākie trīs gadi (</w:t>
            </w:r>
            <w:proofErr w:type="spellStart"/>
            <w:r w:rsidRPr="00380DA5">
              <w:rPr>
                <w:szCs w:val="24"/>
              </w:rPr>
              <w:t>tūkst</w:t>
            </w:r>
            <w:proofErr w:type="spellEnd"/>
            <w:r w:rsidRPr="00380DA5">
              <w:rPr>
                <w:szCs w:val="24"/>
              </w:rPr>
              <w:t>. latu)</w:t>
            </w:r>
          </w:p>
        </w:tc>
      </w:tr>
      <w:tr w:rsidR="00380DA5" w:rsidRPr="00380DA5" w:rsidTr="00E52C31">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firstRow="1" w:lastRow="1" w:firstColumn="1" w:lastColumn="1" w:noHBand="0" w:noVBand="0"/>
        </w:tblPrEx>
        <w:trPr>
          <w:jc w:val="center"/>
        </w:trPr>
        <w:tc>
          <w:tcPr>
            <w:tcW w:w="1443" w:type="pct"/>
            <w:vMerge/>
            <w:vAlign w:val="center"/>
          </w:tcPr>
          <w:p w:rsidR="00380DA5" w:rsidRPr="00380DA5" w:rsidRDefault="00380DA5" w:rsidP="007532BC">
            <w:pPr>
              <w:pStyle w:val="naisf"/>
              <w:spacing w:before="0" w:after="0"/>
              <w:ind w:firstLine="720"/>
              <w:jc w:val="center"/>
              <w:rPr>
                <w:b/>
                <w:i/>
                <w:szCs w:val="24"/>
              </w:rPr>
            </w:pPr>
          </w:p>
        </w:tc>
        <w:tc>
          <w:tcPr>
            <w:tcW w:w="1459" w:type="pct"/>
            <w:gridSpan w:val="2"/>
            <w:vMerge/>
            <w:vAlign w:val="center"/>
          </w:tcPr>
          <w:p w:rsidR="00380DA5" w:rsidRPr="00380DA5" w:rsidRDefault="00380DA5" w:rsidP="007532BC">
            <w:pPr>
              <w:pStyle w:val="naisf"/>
              <w:spacing w:before="0" w:after="0"/>
              <w:ind w:firstLine="720"/>
              <w:jc w:val="center"/>
              <w:rPr>
                <w:b/>
                <w:i/>
                <w:szCs w:val="24"/>
              </w:rPr>
            </w:pPr>
          </w:p>
        </w:tc>
        <w:tc>
          <w:tcPr>
            <w:tcW w:w="659" w:type="pct"/>
            <w:vAlign w:val="center"/>
          </w:tcPr>
          <w:p w:rsidR="00380DA5" w:rsidRPr="00380DA5" w:rsidRDefault="00380DA5" w:rsidP="00380DA5">
            <w:pPr>
              <w:pStyle w:val="naisf"/>
              <w:spacing w:before="0" w:after="0"/>
              <w:jc w:val="center"/>
              <w:rPr>
                <w:b/>
                <w:i/>
                <w:szCs w:val="24"/>
              </w:rPr>
            </w:pPr>
            <w:r w:rsidRPr="00380DA5">
              <w:rPr>
                <w:b/>
                <w:bCs/>
                <w:szCs w:val="24"/>
              </w:rPr>
              <w:t>2013.</w:t>
            </w:r>
          </w:p>
        </w:tc>
        <w:tc>
          <w:tcPr>
            <w:tcW w:w="682" w:type="pct"/>
            <w:vAlign w:val="center"/>
          </w:tcPr>
          <w:p w:rsidR="00380DA5" w:rsidRPr="00380DA5" w:rsidRDefault="00380DA5" w:rsidP="00380DA5">
            <w:pPr>
              <w:pStyle w:val="naisf"/>
              <w:spacing w:before="0" w:after="0"/>
              <w:jc w:val="center"/>
              <w:rPr>
                <w:b/>
                <w:i/>
                <w:szCs w:val="24"/>
              </w:rPr>
            </w:pPr>
            <w:r w:rsidRPr="00380DA5">
              <w:rPr>
                <w:b/>
                <w:bCs/>
                <w:szCs w:val="24"/>
              </w:rPr>
              <w:t>2014.</w:t>
            </w:r>
          </w:p>
        </w:tc>
        <w:tc>
          <w:tcPr>
            <w:tcW w:w="757" w:type="pct"/>
            <w:vAlign w:val="center"/>
          </w:tcPr>
          <w:p w:rsidR="00380DA5" w:rsidRPr="00380DA5" w:rsidRDefault="00380DA5" w:rsidP="00380DA5">
            <w:pPr>
              <w:pStyle w:val="naisf"/>
              <w:spacing w:before="0" w:after="0"/>
              <w:jc w:val="center"/>
              <w:rPr>
                <w:b/>
                <w:i/>
                <w:szCs w:val="24"/>
              </w:rPr>
            </w:pPr>
            <w:r w:rsidRPr="00380DA5">
              <w:rPr>
                <w:b/>
                <w:bCs/>
                <w:szCs w:val="24"/>
              </w:rPr>
              <w:t>2015.</w:t>
            </w:r>
          </w:p>
        </w:tc>
      </w:tr>
      <w:tr w:rsidR="00380DA5" w:rsidRPr="00380DA5" w:rsidTr="00D74A1E">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firstRow="1" w:lastRow="1" w:firstColumn="1" w:lastColumn="1" w:noHBand="0" w:noVBand="0"/>
        </w:tblPrEx>
        <w:trPr>
          <w:jc w:val="center"/>
        </w:trPr>
        <w:tc>
          <w:tcPr>
            <w:tcW w:w="1443" w:type="pct"/>
            <w:vMerge/>
            <w:vAlign w:val="center"/>
          </w:tcPr>
          <w:p w:rsidR="00380DA5" w:rsidRPr="00380DA5" w:rsidRDefault="00380DA5" w:rsidP="007532BC">
            <w:pPr>
              <w:pStyle w:val="naisf"/>
              <w:spacing w:before="0" w:after="0"/>
              <w:jc w:val="center"/>
              <w:rPr>
                <w:b/>
                <w:i/>
                <w:szCs w:val="24"/>
              </w:rPr>
            </w:pPr>
          </w:p>
        </w:tc>
        <w:tc>
          <w:tcPr>
            <w:tcW w:w="735" w:type="pct"/>
            <w:vAlign w:val="center"/>
          </w:tcPr>
          <w:p w:rsidR="00380DA5" w:rsidRPr="00380DA5" w:rsidRDefault="00380DA5" w:rsidP="007532BC">
            <w:pPr>
              <w:pStyle w:val="naisf"/>
              <w:spacing w:before="0" w:after="0"/>
              <w:jc w:val="center"/>
              <w:rPr>
                <w:b/>
                <w:i/>
                <w:szCs w:val="24"/>
              </w:rPr>
            </w:pPr>
            <w:r w:rsidRPr="00380DA5">
              <w:rPr>
                <w:szCs w:val="24"/>
              </w:rPr>
              <w:t>Saskaņā ar valsts budžetu kārtējam gadam</w:t>
            </w:r>
          </w:p>
        </w:tc>
        <w:tc>
          <w:tcPr>
            <w:tcW w:w="724" w:type="pct"/>
            <w:vAlign w:val="center"/>
          </w:tcPr>
          <w:p w:rsidR="00380DA5" w:rsidRPr="00380DA5" w:rsidRDefault="00380DA5" w:rsidP="007532BC">
            <w:pPr>
              <w:pStyle w:val="naisf"/>
              <w:spacing w:before="0" w:after="0"/>
              <w:jc w:val="center"/>
              <w:rPr>
                <w:b/>
                <w:i/>
                <w:szCs w:val="24"/>
              </w:rPr>
            </w:pPr>
            <w:r w:rsidRPr="00380DA5">
              <w:rPr>
                <w:szCs w:val="24"/>
              </w:rPr>
              <w:t>Izmaiņas kārtējā gadā, salīdzinot ar budžetu kārtējam gadam</w:t>
            </w:r>
          </w:p>
        </w:tc>
        <w:tc>
          <w:tcPr>
            <w:tcW w:w="659" w:type="pct"/>
            <w:vAlign w:val="center"/>
          </w:tcPr>
          <w:p w:rsidR="00380DA5" w:rsidRPr="00380DA5" w:rsidRDefault="00380DA5" w:rsidP="007532BC">
            <w:pPr>
              <w:pStyle w:val="naisf"/>
              <w:spacing w:before="0" w:after="0"/>
              <w:jc w:val="center"/>
              <w:rPr>
                <w:b/>
                <w:i/>
                <w:szCs w:val="24"/>
              </w:rPr>
            </w:pPr>
            <w:r w:rsidRPr="00380DA5">
              <w:rPr>
                <w:szCs w:val="24"/>
              </w:rPr>
              <w:t>Izmaiņas, salīdzinot ar kārtējo (n) gadu</w:t>
            </w:r>
          </w:p>
        </w:tc>
        <w:tc>
          <w:tcPr>
            <w:tcW w:w="682" w:type="pct"/>
            <w:vAlign w:val="center"/>
          </w:tcPr>
          <w:p w:rsidR="00380DA5" w:rsidRPr="00380DA5" w:rsidRDefault="00380DA5" w:rsidP="007532BC">
            <w:pPr>
              <w:pStyle w:val="naisf"/>
              <w:spacing w:before="0" w:after="0"/>
              <w:jc w:val="center"/>
              <w:rPr>
                <w:b/>
                <w:i/>
                <w:szCs w:val="24"/>
              </w:rPr>
            </w:pPr>
            <w:r w:rsidRPr="00380DA5">
              <w:rPr>
                <w:szCs w:val="24"/>
              </w:rPr>
              <w:t>Izmaiņas, salīdzinot ar kārtējo (n) gadu</w:t>
            </w:r>
          </w:p>
        </w:tc>
        <w:tc>
          <w:tcPr>
            <w:tcW w:w="757" w:type="pct"/>
            <w:vAlign w:val="center"/>
          </w:tcPr>
          <w:p w:rsidR="00380DA5" w:rsidRPr="00380DA5" w:rsidRDefault="00380DA5" w:rsidP="007532BC">
            <w:pPr>
              <w:pStyle w:val="naisf"/>
              <w:spacing w:before="0" w:after="0"/>
              <w:jc w:val="center"/>
              <w:rPr>
                <w:b/>
                <w:i/>
                <w:szCs w:val="24"/>
              </w:rPr>
            </w:pPr>
            <w:r w:rsidRPr="00380DA5">
              <w:rPr>
                <w:szCs w:val="24"/>
              </w:rPr>
              <w:t>Izmaiņas, salīdzinot ar kārtējo (n) gadu</w:t>
            </w:r>
          </w:p>
        </w:tc>
      </w:tr>
      <w:tr w:rsidR="00380DA5" w:rsidRPr="00380DA5" w:rsidTr="00D74A1E">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firstRow="1" w:lastRow="1" w:firstColumn="1" w:lastColumn="1" w:noHBand="0" w:noVBand="0"/>
        </w:tblPrEx>
        <w:trPr>
          <w:jc w:val="center"/>
        </w:trPr>
        <w:tc>
          <w:tcPr>
            <w:tcW w:w="1443" w:type="pct"/>
            <w:vAlign w:val="center"/>
          </w:tcPr>
          <w:p w:rsidR="00380DA5" w:rsidRPr="00380DA5" w:rsidRDefault="00380DA5" w:rsidP="007532BC">
            <w:pPr>
              <w:pStyle w:val="naisf"/>
              <w:spacing w:before="0" w:after="0"/>
              <w:jc w:val="center"/>
              <w:rPr>
                <w:bCs/>
                <w:szCs w:val="24"/>
              </w:rPr>
            </w:pPr>
            <w:r w:rsidRPr="00380DA5">
              <w:rPr>
                <w:bCs/>
                <w:szCs w:val="24"/>
              </w:rPr>
              <w:t>1</w:t>
            </w:r>
          </w:p>
        </w:tc>
        <w:tc>
          <w:tcPr>
            <w:tcW w:w="735" w:type="pct"/>
            <w:vAlign w:val="center"/>
          </w:tcPr>
          <w:p w:rsidR="00380DA5" w:rsidRPr="00380DA5" w:rsidRDefault="00380DA5" w:rsidP="007532BC">
            <w:pPr>
              <w:pStyle w:val="naisf"/>
              <w:spacing w:before="0" w:after="0"/>
              <w:jc w:val="center"/>
              <w:rPr>
                <w:bCs/>
                <w:szCs w:val="24"/>
              </w:rPr>
            </w:pPr>
            <w:r w:rsidRPr="00380DA5">
              <w:rPr>
                <w:bCs/>
                <w:szCs w:val="24"/>
              </w:rPr>
              <w:t>2</w:t>
            </w:r>
          </w:p>
        </w:tc>
        <w:tc>
          <w:tcPr>
            <w:tcW w:w="724" w:type="pct"/>
            <w:vAlign w:val="center"/>
          </w:tcPr>
          <w:p w:rsidR="00380DA5" w:rsidRPr="00380DA5" w:rsidRDefault="00380DA5" w:rsidP="007532BC">
            <w:pPr>
              <w:pStyle w:val="naisf"/>
              <w:spacing w:before="0" w:after="0"/>
              <w:jc w:val="center"/>
              <w:rPr>
                <w:bCs/>
                <w:szCs w:val="24"/>
              </w:rPr>
            </w:pPr>
            <w:r w:rsidRPr="00380DA5">
              <w:rPr>
                <w:bCs/>
                <w:szCs w:val="24"/>
              </w:rPr>
              <w:t>3</w:t>
            </w:r>
          </w:p>
        </w:tc>
        <w:tc>
          <w:tcPr>
            <w:tcW w:w="659" w:type="pct"/>
            <w:vAlign w:val="center"/>
          </w:tcPr>
          <w:p w:rsidR="00380DA5" w:rsidRPr="00380DA5" w:rsidRDefault="00380DA5" w:rsidP="007532BC">
            <w:pPr>
              <w:pStyle w:val="naisf"/>
              <w:spacing w:before="0" w:after="0"/>
              <w:jc w:val="center"/>
              <w:rPr>
                <w:bCs/>
                <w:szCs w:val="24"/>
              </w:rPr>
            </w:pPr>
            <w:r w:rsidRPr="00380DA5">
              <w:rPr>
                <w:bCs/>
                <w:szCs w:val="24"/>
              </w:rPr>
              <w:t>4</w:t>
            </w:r>
          </w:p>
        </w:tc>
        <w:tc>
          <w:tcPr>
            <w:tcW w:w="682" w:type="pct"/>
            <w:vAlign w:val="center"/>
          </w:tcPr>
          <w:p w:rsidR="00380DA5" w:rsidRPr="00380DA5" w:rsidRDefault="00380DA5" w:rsidP="007532BC">
            <w:pPr>
              <w:pStyle w:val="naisf"/>
              <w:spacing w:before="0" w:after="0"/>
              <w:jc w:val="center"/>
              <w:rPr>
                <w:bCs/>
                <w:szCs w:val="24"/>
              </w:rPr>
            </w:pPr>
            <w:r w:rsidRPr="00380DA5">
              <w:rPr>
                <w:bCs/>
                <w:szCs w:val="24"/>
              </w:rPr>
              <w:t>5</w:t>
            </w:r>
          </w:p>
        </w:tc>
        <w:tc>
          <w:tcPr>
            <w:tcW w:w="757" w:type="pct"/>
            <w:vAlign w:val="center"/>
          </w:tcPr>
          <w:p w:rsidR="00380DA5" w:rsidRPr="00380DA5" w:rsidRDefault="00380DA5" w:rsidP="007532BC">
            <w:pPr>
              <w:pStyle w:val="naisf"/>
              <w:spacing w:before="0" w:after="0"/>
              <w:jc w:val="center"/>
              <w:rPr>
                <w:bCs/>
                <w:szCs w:val="24"/>
              </w:rPr>
            </w:pPr>
            <w:r w:rsidRPr="00380DA5">
              <w:rPr>
                <w:bCs/>
                <w:szCs w:val="24"/>
              </w:rPr>
              <w:t>6</w:t>
            </w:r>
          </w:p>
        </w:tc>
      </w:tr>
      <w:tr w:rsidR="00E52C31" w:rsidRPr="00D35A76" w:rsidTr="00D74A1E">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firstRow="1" w:lastRow="1" w:firstColumn="1" w:lastColumn="1" w:noHBand="0" w:noVBand="0"/>
        </w:tblPrEx>
        <w:trPr>
          <w:jc w:val="center"/>
        </w:trPr>
        <w:tc>
          <w:tcPr>
            <w:tcW w:w="1443" w:type="pct"/>
          </w:tcPr>
          <w:p w:rsidR="00E52C31" w:rsidRPr="00380DA5" w:rsidRDefault="00E52C31" w:rsidP="007532BC">
            <w:pPr>
              <w:pStyle w:val="naisf"/>
              <w:spacing w:before="0" w:after="0"/>
              <w:rPr>
                <w:i/>
                <w:szCs w:val="24"/>
              </w:rPr>
            </w:pPr>
            <w:r w:rsidRPr="00380DA5">
              <w:rPr>
                <w:szCs w:val="24"/>
              </w:rPr>
              <w:t>1. Budžeta ieņēmumi:</w:t>
            </w:r>
          </w:p>
        </w:tc>
        <w:tc>
          <w:tcPr>
            <w:tcW w:w="735" w:type="pct"/>
          </w:tcPr>
          <w:p w:rsidR="00E52C31" w:rsidRPr="00837B23" w:rsidRDefault="00E52C31" w:rsidP="00E52C31">
            <w:pPr>
              <w:pStyle w:val="naisf"/>
              <w:spacing w:before="0" w:after="0"/>
              <w:rPr>
                <w:b/>
                <w:szCs w:val="24"/>
              </w:rPr>
            </w:pPr>
            <w:r w:rsidRPr="00E52C31">
              <w:rPr>
                <w:szCs w:val="24"/>
              </w:rPr>
              <w:t>0</w:t>
            </w:r>
          </w:p>
        </w:tc>
        <w:tc>
          <w:tcPr>
            <w:tcW w:w="724" w:type="pct"/>
          </w:tcPr>
          <w:p w:rsidR="00E52C31" w:rsidRPr="00666F23" w:rsidRDefault="00E52C31" w:rsidP="007532BC">
            <w:pPr>
              <w:pStyle w:val="naisf"/>
              <w:spacing w:before="0" w:after="0"/>
              <w:rPr>
                <w:szCs w:val="24"/>
              </w:rPr>
            </w:pPr>
            <w:r w:rsidRPr="00666F23">
              <w:rPr>
                <w:szCs w:val="24"/>
              </w:rPr>
              <w:t>0</w:t>
            </w:r>
          </w:p>
        </w:tc>
        <w:tc>
          <w:tcPr>
            <w:tcW w:w="659" w:type="pct"/>
          </w:tcPr>
          <w:p w:rsidR="00E52C31" w:rsidRPr="00E52C31" w:rsidRDefault="00E52C31" w:rsidP="00D35A76">
            <w:pPr>
              <w:pStyle w:val="naisf"/>
              <w:spacing w:before="0" w:after="0"/>
              <w:rPr>
                <w:szCs w:val="24"/>
              </w:rPr>
            </w:pPr>
            <w:r w:rsidRPr="00E52C31">
              <w:rPr>
                <w:szCs w:val="24"/>
              </w:rPr>
              <w:t>0</w:t>
            </w:r>
          </w:p>
        </w:tc>
        <w:tc>
          <w:tcPr>
            <w:tcW w:w="682" w:type="pct"/>
          </w:tcPr>
          <w:p w:rsidR="00E52C31" w:rsidRPr="000269EE" w:rsidRDefault="00E52C31" w:rsidP="00F27DD8">
            <w:r w:rsidRPr="000269EE">
              <w:t>0</w:t>
            </w:r>
          </w:p>
        </w:tc>
        <w:tc>
          <w:tcPr>
            <w:tcW w:w="757" w:type="pct"/>
          </w:tcPr>
          <w:p w:rsidR="00E52C31" w:rsidRDefault="00E52C31" w:rsidP="00F27DD8">
            <w:r w:rsidRPr="000269EE">
              <w:t>0</w:t>
            </w:r>
          </w:p>
        </w:tc>
      </w:tr>
      <w:tr w:rsidR="00E52C31" w:rsidRPr="00380DA5" w:rsidTr="00D74A1E">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firstRow="1" w:lastRow="1" w:firstColumn="1" w:lastColumn="1" w:noHBand="0" w:noVBand="0"/>
        </w:tblPrEx>
        <w:trPr>
          <w:jc w:val="center"/>
        </w:trPr>
        <w:tc>
          <w:tcPr>
            <w:tcW w:w="1443" w:type="pct"/>
          </w:tcPr>
          <w:p w:rsidR="00E52C31" w:rsidRPr="00380DA5" w:rsidRDefault="00E52C31" w:rsidP="007532BC">
            <w:pPr>
              <w:pStyle w:val="naisf"/>
              <w:spacing w:before="0" w:after="0"/>
              <w:rPr>
                <w:i/>
                <w:szCs w:val="24"/>
              </w:rPr>
            </w:pPr>
            <w:r w:rsidRPr="00380DA5">
              <w:rPr>
                <w:szCs w:val="24"/>
              </w:rPr>
              <w:t>1.1. valsts pamatbudžets, tai skaitā ieņēmumi no maksas pakalpojumiem un citi pašu ieņēmumi</w:t>
            </w:r>
            <w:r>
              <w:rPr>
                <w:szCs w:val="24"/>
              </w:rPr>
              <w:t xml:space="preserve"> (ārvalstu finanšu līdzekļu ieņēmumi)</w:t>
            </w:r>
          </w:p>
        </w:tc>
        <w:tc>
          <w:tcPr>
            <w:tcW w:w="735" w:type="pct"/>
          </w:tcPr>
          <w:p w:rsidR="00E52C31" w:rsidRPr="00837B23" w:rsidRDefault="00E52C31" w:rsidP="007532BC">
            <w:pPr>
              <w:pStyle w:val="naisf"/>
              <w:spacing w:before="0" w:after="0"/>
              <w:rPr>
                <w:szCs w:val="24"/>
              </w:rPr>
            </w:pPr>
            <w:r>
              <w:rPr>
                <w:szCs w:val="24"/>
              </w:rPr>
              <w:t>0</w:t>
            </w:r>
          </w:p>
        </w:tc>
        <w:tc>
          <w:tcPr>
            <w:tcW w:w="724" w:type="pct"/>
          </w:tcPr>
          <w:p w:rsidR="00E52C31" w:rsidRPr="00666F23" w:rsidRDefault="00E52C31" w:rsidP="007532BC">
            <w:pPr>
              <w:pStyle w:val="naisf"/>
              <w:spacing w:before="0" w:after="0"/>
              <w:rPr>
                <w:szCs w:val="24"/>
              </w:rPr>
            </w:pPr>
            <w:r w:rsidRPr="00666F23">
              <w:rPr>
                <w:szCs w:val="24"/>
              </w:rPr>
              <w:t>0</w:t>
            </w:r>
          </w:p>
        </w:tc>
        <w:tc>
          <w:tcPr>
            <w:tcW w:w="659" w:type="pct"/>
          </w:tcPr>
          <w:p w:rsidR="00E52C31" w:rsidRPr="00B4296F" w:rsidRDefault="00E52C31" w:rsidP="00F27DD8">
            <w:r w:rsidRPr="00B4296F">
              <w:t>0</w:t>
            </w:r>
          </w:p>
        </w:tc>
        <w:tc>
          <w:tcPr>
            <w:tcW w:w="682" w:type="pct"/>
          </w:tcPr>
          <w:p w:rsidR="00E52C31" w:rsidRPr="00B4296F" w:rsidRDefault="00E52C31" w:rsidP="00F27DD8">
            <w:r w:rsidRPr="00B4296F">
              <w:t>0</w:t>
            </w:r>
          </w:p>
        </w:tc>
        <w:tc>
          <w:tcPr>
            <w:tcW w:w="757" w:type="pct"/>
          </w:tcPr>
          <w:p w:rsidR="00E52C31" w:rsidRDefault="00E52C31" w:rsidP="00F27DD8">
            <w:r w:rsidRPr="00B4296F">
              <w:t>0</w:t>
            </w:r>
          </w:p>
        </w:tc>
      </w:tr>
      <w:tr w:rsidR="00380DA5" w:rsidRPr="00380DA5" w:rsidTr="00D74A1E">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firstRow="1" w:lastRow="1" w:firstColumn="1" w:lastColumn="1" w:noHBand="0" w:noVBand="0"/>
        </w:tblPrEx>
        <w:trPr>
          <w:jc w:val="center"/>
        </w:trPr>
        <w:tc>
          <w:tcPr>
            <w:tcW w:w="1443" w:type="pct"/>
          </w:tcPr>
          <w:p w:rsidR="00380DA5" w:rsidRPr="00380DA5" w:rsidRDefault="00380DA5" w:rsidP="007532BC">
            <w:pPr>
              <w:pStyle w:val="naisf"/>
              <w:spacing w:before="0" w:after="0"/>
              <w:rPr>
                <w:i/>
                <w:szCs w:val="24"/>
              </w:rPr>
            </w:pPr>
            <w:r w:rsidRPr="00380DA5">
              <w:rPr>
                <w:szCs w:val="24"/>
              </w:rPr>
              <w:t>1.2. valsts speciālais budžets</w:t>
            </w:r>
          </w:p>
        </w:tc>
        <w:tc>
          <w:tcPr>
            <w:tcW w:w="735" w:type="pct"/>
          </w:tcPr>
          <w:p w:rsidR="00380DA5" w:rsidRPr="005A72B4" w:rsidRDefault="007276C2" w:rsidP="007532BC">
            <w:pPr>
              <w:pStyle w:val="naisf"/>
              <w:spacing w:before="0" w:after="0"/>
              <w:rPr>
                <w:szCs w:val="24"/>
              </w:rPr>
            </w:pPr>
            <w:r w:rsidRPr="005A72B4">
              <w:rPr>
                <w:szCs w:val="24"/>
              </w:rPr>
              <w:t>0</w:t>
            </w:r>
          </w:p>
        </w:tc>
        <w:tc>
          <w:tcPr>
            <w:tcW w:w="724" w:type="pct"/>
          </w:tcPr>
          <w:p w:rsidR="00380DA5" w:rsidRPr="005A72B4" w:rsidRDefault="00666F23" w:rsidP="007532BC">
            <w:pPr>
              <w:pStyle w:val="naisf"/>
              <w:spacing w:before="0" w:after="0"/>
              <w:rPr>
                <w:szCs w:val="24"/>
              </w:rPr>
            </w:pPr>
            <w:r w:rsidRPr="005A72B4">
              <w:rPr>
                <w:szCs w:val="24"/>
              </w:rPr>
              <w:t>0</w:t>
            </w:r>
          </w:p>
        </w:tc>
        <w:tc>
          <w:tcPr>
            <w:tcW w:w="659" w:type="pct"/>
          </w:tcPr>
          <w:p w:rsidR="00380DA5" w:rsidRPr="005A72B4" w:rsidRDefault="00E5551D" w:rsidP="007532BC">
            <w:pPr>
              <w:pStyle w:val="naisf"/>
              <w:spacing w:before="0" w:after="0"/>
              <w:rPr>
                <w:szCs w:val="24"/>
              </w:rPr>
            </w:pPr>
            <w:r w:rsidRPr="005A72B4">
              <w:rPr>
                <w:szCs w:val="24"/>
              </w:rPr>
              <w:t>0</w:t>
            </w:r>
          </w:p>
        </w:tc>
        <w:tc>
          <w:tcPr>
            <w:tcW w:w="682" w:type="pct"/>
          </w:tcPr>
          <w:p w:rsidR="00380DA5" w:rsidRPr="005A72B4" w:rsidRDefault="005A72B4" w:rsidP="007532BC">
            <w:pPr>
              <w:pStyle w:val="naisf"/>
              <w:spacing w:before="0" w:after="0"/>
              <w:rPr>
                <w:szCs w:val="24"/>
              </w:rPr>
            </w:pPr>
            <w:r w:rsidRPr="005A72B4">
              <w:rPr>
                <w:szCs w:val="24"/>
              </w:rPr>
              <w:t>0</w:t>
            </w:r>
          </w:p>
        </w:tc>
        <w:tc>
          <w:tcPr>
            <w:tcW w:w="757" w:type="pct"/>
          </w:tcPr>
          <w:p w:rsidR="00380DA5" w:rsidRPr="005A72B4" w:rsidRDefault="005A72B4" w:rsidP="007532BC">
            <w:pPr>
              <w:pStyle w:val="naisf"/>
              <w:spacing w:before="0" w:after="0"/>
              <w:rPr>
                <w:szCs w:val="24"/>
              </w:rPr>
            </w:pPr>
            <w:r w:rsidRPr="005A72B4">
              <w:rPr>
                <w:szCs w:val="24"/>
              </w:rPr>
              <w:t>0</w:t>
            </w:r>
          </w:p>
        </w:tc>
      </w:tr>
      <w:tr w:rsidR="00380DA5" w:rsidRPr="00380DA5" w:rsidTr="00D74A1E">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firstRow="1" w:lastRow="1" w:firstColumn="1" w:lastColumn="1" w:noHBand="0" w:noVBand="0"/>
        </w:tblPrEx>
        <w:trPr>
          <w:jc w:val="center"/>
        </w:trPr>
        <w:tc>
          <w:tcPr>
            <w:tcW w:w="1443" w:type="pct"/>
          </w:tcPr>
          <w:p w:rsidR="00380DA5" w:rsidRPr="00380DA5" w:rsidRDefault="00380DA5" w:rsidP="007532BC">
            <w:pPr>
              <w:pStyle w:val="naisf"/>
              <w:spacing w:before="0" w:after="0"/>
              <w:rPr>
                <w:i/>
                <w:szCs w:val="24"/>
              </w:rPr>
            </w:pPr>
            <w:r w:rsidRPr="00380DA5">
              <w:rPr>
                <w:szCs w:val="24"/>
              </w:rPr>
              <w:lastRenderedPageBreak/>
              <w:t>1.3. pašvaldību budžets</w:t>
            </w:r>
          </w:p>
        </w:tc>
        <w:tc>
          <w:tcPr>
            <w:tcW w:w="735" w:type="pct"/>
          </w:tcPr>
          <w:p w:rsidR="00380DA5" w:rsidRPr="005A72B4" w:rsidRDefault="007276C2" w:rsidP="007532BC">
            <w:pPr>
              <w:pStyle w:val="naisf"/>
              <w:spacing w:before="0" w:after="0"/>
              <w:rPr>
                <w:szCs w:val="24"/>
              </w:rPr>
            </w:pPr>
            <w:r w:rsidRPr="005A72B4">
              <w:rPr>
                <w:szCs w:val="24"/>
              </w:rPr>
              <w:t>0</w:t>
            </w:r>
          </w:p>
        </w:tc>
        <w:tc>
          <w:tcPr>
            <w:tcW w:w="724" w:type="pct"/>
          </w:tcPr>
          <w:p w:rsidR="00380DA5" w:rsidRPr="005A72B4" w:rsidRDefault="00666F23" w:rsidP="007532BC">
            <w:pPr>
              <w:pStyle w:val="naisf"/>
              <w:spacing w:before="0" w:after="0"/>
              <w:rPr>
                <w:szCs w:val="24"/>
              </w:rPr>
            </w:pPr>
            <w:r w:rsidRPr="005A72B4">
              <w:rPr>
                <w:szCs w:val="24"/>
              </w:rPr>
              <w:t>0</w:t>
            </w:r>
          </w:p>
        </w:tc>
        <w:tc>
          <w:tcPr>
            <w:tcW w:w="659" w:type="pct"/>
          </w:tcPr>
          <w:p w:rsidR="00380DA5" w:rsidRPr="005A72B4" w:rsidRDefault="00E5551D" w:rsidP="007532BC">
            <w:pPr>
              <w:pStyle w:val="naisf"/>
              <w:spacing w:before="0" w:after="0"/>
              <w:rPr>
                <w:szCs w:val="24"/>
              </w:rPr>
            </w:pPr>
            <w:r w:rsidRPr="005A72B4">
              <w:rPr>
                <w:szCs w:val="24"/>
              </w:rPr>
              <w:t>0</w:t>
            </w:r>
          </w:p>
        </w:tc>
        <w:tc>
          <w:tcPr>
            <w:tcW w:w="682" w:type="pct"/>
          </w:tcPr>
          <w:p w:rsidR="00380DA5" w:rsidRPr="005A72B4" w:rsidRDefault="005A72B4" w:rsidP="007532BC">
            <w:pPr>
              <w:pStyle w:val="naisf"/>
              <w:spacing w:before="0" w:after="0"/>
              <w:rPr>
                <w:szCs w:val="24"/>
              </w:rPr>
            </w:pPr>
            <w:r w:rsidRPr="005A72B4">
              <w:rPr>
                <w:szCs w:val="24"/>
              </w:rPr>
              <w:t>0</w:t>
            </w:r>
          </w:p>
        </w:tc>
        <w:tc>
          <w:tcPr>
            <w:tcW w:w="757" w:type="pct"/>
          </w:tcPr>
          <w:p w:rsidR="00380DA5" w:rsidRPr="005A72B4" w:rsidRDefault="005A72B4" w:rsidP="007532BC">
            <w:pPr>
              <w:pStyle w:val="naisf"/>
              <w:spacing w:before="0" w:after="0"/>
              <w:rPr>
                <w:szCs w:val="24"/>
              </w:rPr>
            </w:pPr>
            <w:r w:rsidRPr="005A72B4">
              <w:rPr>
                <w:szCs w:val="24"/>
              </w:rPr>
              <w:t>0</w:t>
            </w:r>
          </w:p>
        </w:tc>
      </w:tr>
      <w:tr w:rsidR="00380DA5" w:rsidRPr="00380DA5" w:rsidTr="00D74A1E">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firstRow="1" w:lastRow="1" w:firstColumn="1" w:lastColumn="1" w:noHBand="0" w:noVBand="0"/>
        </w:tblPrEx>
        <w:trPr>
          <w:jc w:val="center"/>
        </w:trPr>
        <w:tc>
          <w:tcPr>
            <w:tcW w:w="1443" w:type="pct"/>
          </w:tcPr>
          <w:p w:rsidR="00380DA5" w:rsidRPr="00380DA5" w:rsidRDefault="00380DA5" w:rsidP="007532BC">
            <w:pPr>
              <w:jc w:val="both"/>
              <w:rPr>
                <w:szCs w:val="24"/>
                <w:lang w:val="lv-LV"/>
              </w:rPr>
            </w:pPr>
            <w:r w:rsidRPr="00380DA5">
              <w:rPr>
                <w:szCs w:val="24"/>
                <w:lang w:val="lv-LV"/>
              </w:rPr>
              <w:t>2. Budžeta izdevumi:</w:t>
            </w:r>
          </w:p>
        </w:tc>
        <w:tc>
          <w:tcPr>
            <w:tcW w:w="735" w:type="pct"/>
          </w:tcPr>
          <w:p w:rsidR="00380DA5" w:rsidRPr="00E5551D" w:rsidRDefault="00380DA5" w:rsidP="007532BC">
            <w:pPr>
              <w:pStyle w:val="naisf"/>
              <w:spacing w:before="0" w:after="0"/>
              <w:rPr>
                <w:b/>
                <w:szCs w:val="24"/>
              </w:rPr>
            </w:pPr>
          </w:p>
        </w:tc>
        <w:tc>
          <w:tcPr>
            <w:tcW w:w="724" w:type="pct"/>
          </w:tcPr>
          <w:p w:rsidR="00380DA5" w:rsidRPr="00666F23" w:rsidRDefault="00666F23" w:rsidP="007532BC">
            <w:pPr>
              <w:pStyle w:val="naisf"/>
              <w:spacing w:before="0" w:after="0"/>
              <w:rPr>
                <w:szCs w:val="24"/>
              </w:rPr>
            </w:pPr>
            <w:r w:rsidRPr="00666F23">
              <w:rPr>
                <w:szCs w:val="24"/>
              </w:rPr>
              <w:t>0</w:t>
            </w:r>
          </w:p>
        </w:tc>
        <w:tc>
          <w:tcPr>
            <w:tcW w:w="659" w:type="pct"/>
          </w:tcPr>
          <w:p w:rsidR="00380DA5" w:rsidRPr="00E5551D" w:rsidRDefault="00380DA5" w:rsidP="007532BC">
            <w:pPr>
              <w:pStyle w:val="naisf"/>
              <w:spacing w:before="0" w:after="0"/>
              <w:rPr>
                <w:b/>
                <w:szCs w:val="24"/>
              </w:rPr>
            </w:pPr>
          </w:p>
        </w:tc>
        <w:tc>
          <w:tcPr>
            <w:tcW w:w="682" w:type="pct"/>
          </w:tcPr>
          <w:p w:rsidR="00380DA5" w:rsidRPr="00380DA5" w:rsidRDefault="00380DA5" w:rsidP="007532BC">
            <w:pPr>
              <w:pStyle w:val="naisf"/>
              <w:spacing w:before="0" w:after="0"/>
              <w:rPr>
                <w:b/>
                <w:i/>
                <w:szCs w:val="24"/>
              </w:rPr>
            </w:pPr>
          </w:p>
        </w:tc>
        <w:tc>
          <w:tcPr>
            <w:tcW w:w="757" w:type="pct"/>
          </w:tcPr>
          <w:p w:rsidR="00380DA5" w:rsidRPr="00380DA5" w:rsidRDefault="00380DA5" w:rsidP="007532BC">
            <w:pPr>
              <w:pStyle w:val="naisf"/>
              <w:spacing w:before="0" w:after="0"/>
              <w:rPr>
                <w:b/>
                <w:i/>
                <w:szCs w:val="24"/>
              </w:rPr>
            </w:pPr>
          </w:p>
        </w:tc>
      </w:tr>
      <w:tr w:rsidR="00380DA5" w:rsidRPr="00380DA5" w:rsidTr="00D74A1E">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firstRow="1" w:lastRow="1" w:firstColumn="1" w:lastColumn="1" w:noHBand="0" w:noVBand="0"/>
        </w:tblPrEx>
        <w:trPr>
          <w:jc w:val="center"/>
        </w:trPr>
        <w:tc>
          <w:tcPr>
            <w:tcW w:w="1443" w:type="pct"/>
          </w:tcPr>
          <w:p w:rsidR="00380DA5" w:rsidRPr="00380DA5" w:rsidRDefault="00380DA5" w:rsidP="007532BC">
            <w:pPr>
              <w:jc w:val="both"/>
              <w:rPr>
                <w:szCs w:val="24"/>
                <w:lang w:val="lv-LV"/>
              </w:rPr>
            </w:pPr>
            <w:r w:rsidRPr="00380DA5">
              <w:rPr>
                <w:szCs w:val="24"/>
                <w:lang w:val="lv-LV"/>
              </w:rPr>
              <w:t>2.1. valsts pamatbudžets</w:t>
            </w:r>
          </w:p>
        </w:tc>
        <w:tc>
          <w:tcPr>
            <w:tcW w:w="735" w:type="pct"/>
          </w:tcPr>
          <w:p w:rsidR="00380DA5" w:rsidRPr="00E5551D" w:rsidRDefault="00380DA5" w:rsidP="007532BC">
            <w:pPr>
              <w:pStyle w:val="naisf"/>
              <w:spacing w:before="0" w:after="0"/>
              <w:rPr>
                <w:szCs w:val="24"/>
              </w:rPr>
            </w:pPr>
          </w:p>
        </w:tc>
        <w:tc>
          <w:tcPr>
            <w:tcW w:w="724" w:type="pct"/>
          </w:tcPr>
          <w:p w:rsidR="00380DA5" w:rsidRPr="00666F23" w:rsidRDefault="00380DA5" w:rsidP="007532BC">
            <w:pPr>
              <w:pStyle w:val="naisf"/>
              <w:spacing w:before="0" w:after="0"/>
              <w:rPr>
                <w:szCs w:val="24"/>
              </w:rPr>
            </w:pPr>
          </w:p>
        </w:tc>
        <w:tc>
          <w:tcPr>
            <w:tcW w:w="659" w:type="pct"/>
          </w:tcPr>
          <w:p w:rsidR="00380DA5" w:rsidRPr="00E5551D" w:rsidRDefault="00380DA5" w:rsidP="007532BC">
            <w:pPr>
              <w:pStyle w:val="naisf"/>
              <w:spacing w:before="0" w:after="0"/>
              <w:rPr>
                <w:szCs w:val="24"/>
              </w:rPr>
            </w:pPr>
          </w:p>
        </w:tc>
        <w:tc>
          <w:tcPr>
            <w:tcW w:w="682" w:type="pct"/>
          </w:tcPr>
          <w:p w:rsidR="00380DA5" w:rsidRPr="00380DA5" w:rsidRDefault="00380DA5" w:rsidP="007532BC">
            <w:pPr>
              <w:pStyle w:val="naisf"/>
              <w:spacing w:before="0" w:after="0"/>
              <w:rPr>
                <w:szCs w:val="24"/>
              </w:rPr>
            </w:pPr>
          </w:p>
        </w:tc>
        <w:tc>
          <w:tcPr>
            <w:tcW w:w="757" w:type="pct"/>
          </w:tcPr>
          <w:p w:rsidR="00380DA5" w:rsidRPr="00380DA5" w:rsidRDefault="00380DA5" w:rsidP="007532BC">
            <w:pPr>
              <w:pStyle w:val="naisf"/>
              <w:spacing w:before="0" w:after="0"/>
              <w:rPr>
                <w:szCs w:val="24"/>
              </w:rPr>
            </w:pPr>
          </w:p>
        </w:tc>
      </w:tr>
      <w:tr w:rsidR="00380DA5" w:rsidRPr="00380DA5" w:rsidTr="00D74A1E">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firstRow="1" w:lastRow="1" w:firstColumn="1" w:lastColumn="1" w:noHBand="0" w:noVBand="0"/>
        </w:tblPrEx>
        <w:trPr>
          <w:jc w:val="center"/>
        </w:trPr>
        <w:tc>
          <w:tcPr>
            <w:tcW w:w="1443" w:type="pct"/>
          </w:tcPr>
          <w:p w:rsidR="00380DA5" w:rsidRPr="00380DA5" w:rsidRDefault="00380DA5" w:rsidP="007532BC">
            <w:pPr>
              <w:jc w:val="both"/>
              <w:rPr>
                <w:szCs w:val="24"/>
                <w:lang w:val="lv-LV"/>
              </w:rPr>
            </w:pPr>
            <w:r w:rsidRPr="00380DA5">
              <w:rPr>
                <w:szCs w:val="24"/>
                <w:lang w:val="lv-LV"/>
              </w:rPr>
              <w:t>2.2. valsts speciālais budžets</w:t>
            </w:r>
          </w:p>
        </w:tc>
        <w:tc>
          <w:tcPr>
            <w:tcW w:w="735" w:type="pct"/>
          </w:tcPr>
          <w:p w:rsidR="00380DA5" w:rsidRPr="005A72B4" w:rsidRDefault="007276C2" w:rsidP="005A72B4">
            <w:pPr>
              <w:pStyle w:val="naisf"/>
              <w:spacing w:before="0" w:after="0"/>
              <w:rPr>
                <w:szCs w:val="24"/>
              </w:rPr>
            </w:pPr>
            <w:r w:rsidRPr="005A72B4">
              <w:rPr>
                <w:szCs w:val="24"/>
              </w:rPr>
              <w:t>0</w:t>
            </w:r>
          </w:p>
        </w:tc>
        <w:tc>
          <w:tcPr>
            <w:tcW w:w="724" w:type="pct"/>
          </w:tcPr>
          <w:p w:rsidR="00380DA5" w:rsidRPr="005A72B4" w:rsidRDefault="00666F23" w:rsidP="005A72B4">
            <w:pPr>
              <w:pStyle w:val="naisf"/>
              <w:spacing w:before="0" w:after="0"/>
              <w:rPr>
                <w:szCs w:val="24"/>
              </w:rPr>
            </w:pPr>
            <w:r w:rsidRPr="005A72B4">
              <w:rPr>
                <w:szCs w:val="24"/>
              </w:rPr>
              <w:t>0</w:t>
            </w:r>
          </w:p>
        </w:tc>
        <w:tc>
          <w:tcPr>
            <w:tcW w:w="659" w:type="pct"/>
          </w:tcPr>
          <w:p w:rsidR="00380DA5" w:rsidRPr="005A72B4" w:rsidRDefault="00E5551D" w:rsidP="005A72B4">
            <w:pPr>
              <w:pStyle w:val="naisf"/>
              <w:spacing w:before="0" w:after="0"/>
              <w:rPr>
                <w:szCs w:val="24"/>
              </w:rPr>
            </w:pPr>
            <w:r w:rsidRPr="005A72B4">
              <w:rPr>
                <w:szCs w:val="24"/>
              </w:rPr>
              <w:t>0</w:t>
            </w:r>
          </w:p>
        </w:tc>
        <w:tc>
          <w:tcPr>
            <w:tcW w:w="682" w:type="pct"/>
          </w:tcPr>
          <w:p w:rsidR="00380DA5" w:rsidRPr="005A72B4" w:rsidRDefault="005A72B4" w:rsidP="005A72B4">
            <w:pPr>
              <w:pStyle w:val="naisf"/>
              <w:spacing w:before="0" w:after="0"/>
              <w:rPr>
                <w:szCs w:val="24"/>
              </w:rPr>
            </w:pPr>
            <w:r w:rsidRPr="005A72B4">
              <w:rPr>
                <w:szCs w:val="24"/>
              </w:rPr>
              <w:t>0</w:t>
            </w:r>
          </w:p>
        </w:tc>
        <w:tc>
          <w:tcPr>
            <w:tcW w:w="757" w:type="pct"/>
          </w:tcPr>
          <w:p w:rsidR="00380DA5" w:rsidRPr="005A72B4" w:rsidRDefault="005A72B4" w:rsidP="005A72B4">
            <w:pPr>
              <w:pStyle w:val="naisf"/>
              <w:spacing w:before="0" w:after="0"/>
              <w:rPr>
                <w:szCs w:val="24"/>
              </w:rPr>
            </w:pPr>
            <w:r w:rsidRPr="005A72B4">
              <w:rPr>
                <w:szCs w:val="24"/>
              </w:rPr>
              <w:t>0</w:t>
            </w:r>
          </w:p>
        </w:tc>
      </w:tr>
      <w:tr w:rsidR="00380DA5" w:rsidRPr="00380DA5" w:rsidTr="00D74A1E">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firstRow="1" w:lastRow="1" w:firstColumn="1" w:lastColumn="1" w:noHBand="0" w:noVBand="0"/>
        </w:tblPrEx>
        <w:trPr>
          <w:jc w:val="center"/>
        </w:trPr>
        <w:tc>
          <w:tcPr>
            <w:tcW w:w="1443" w:type="pct"/>
          </w:tcPr>
          <w:p w:rsidR="00380DA5" w:rsidRPr="00380DA5" w:rsidRDefault="00380DA5" w:rsidP="007532BC">
            <w:pPr>
              <w:jc w:val="both"/>
              <w:rPr>
                <w:szCs w:val="24"/>
                <w:lang w:val="lv-LV"/>
              </w:rPr>
            </w:pPr>
            <w:r w:rsidRPr="00380DA5">
              <w:rPr>
                <w:szCs w:val="24"/>
                <w:lang w:val="lv-LV"/>
              </w:rPr>
              <w:t xml:space="preserve">2.3. pašvaldību budžets </w:t>
            </w:r>
          </w:p>
        </w:tc>
        <w:tc>
          <w:tcPr>
            <w:tcW w:w="735" w:type="pct"/>
          </w:tcPr>
          <w:p w:rsidR="00380DA5" w:rsidRPr="005A72B4" w:rsidRDefault="007276C2" w:rsidP="005A72B4">
            <w:pPr>
              <w:pStyle w:val="naisf"/>
              <w:spacing w:before="0" w:after="0"/>
              <w:rPr>
                <w:szCs w:val="24"/>
              </w:rPr>
            </w:pPr>
            <w:r w:rsidRPr="005A72B4">
              <w:rPr>
                <w:szCs w:val="24"/>
              </w:rPr>
              <w:t>0</w:t>
            </w:r>
          </w:p>
        </w:tc>
        <w:tc>
          <w:tcPr>
            <w:tcW w:w="724" w:type="pct"/>
          </w:tcPr>
          <w:p w:rsidR="00380DA5" w:rsidRPr="005A72B4" w:rsidRDefault="00666F23" w:rsidP="005A72B4">
            <w:pPr>
              <w:pStyle w:val="naisf"/>
              <w:spacing w:before="0" w:after="0"/>
              <w:rPr>
                <w:szCs w:val="24"/>
              </w:rPr>
            </w:pPr>
            <w:r w:rsidRPr="005A72B4">
              <w:rPr>
                <w:szCs w:val="24"/>
              </w:rPr>
              <w:t>0</w:t>
            </w:r>
          </w:p>
        </w:tc>
        <w:tc>
          <w:tcPr>
            <w:tcW w:w="659" w:type="pct"/>
          </w:tcPr>
          <w:p w:rsidR="00380DA5" w:rsidRPr="005A72B4" w:rsidRDefault="00E5551D" w:rsidP="005A72B4">
            <w:pPr>
              <w:pStyle w:val="naisf"/>
              <w:spacing w:before="0" w:after="0"/>
              <w:rPr>
                <w:szCs w:val="24"/>
              </w:rPr>
            </w:pPr>
            <w:r w:rsidRPr="005A72B4">
              <w:rPr>
                <w:szCs w:val="24"/>
              </w:rPr>
              <w:t>0</w:t>
            </w:r>
          </w:p>
        </w:tc>
        <w:tc>
          <w:tcPr>
            <w:tcW w:w="682" w:type="pct"/>
          </w:tcPr>
          <w:p w:rsidR="00380DA5" w:rsidRPr="005A72B4" w:rsidRDefault="005A72B4" w:rsidP="005A72B4">
            <w:pPr>
              <w:pStyle w:val="naisf"/>
              <w:spacing w:before="0" w:after="0"/>
              <w:rPr>
                <w:szCs w:val="24"/>
              </w:rPr>
            </w:pPr>
            <w:r w:rsidRPr="005A72B4">
              <w:rPr>
                <w:szCs w:val="24"/>
              </w:rPr>
              <w:t>0</w:t>
            </w:r>
          </w:p>
        </w:tc>
        <w:tc>
          <w:tcPr>
            <w:tcW w:w="757" w:type="pct"/>
          </w:tcPr>
          <w:p w:rsidR="00380DA5" w:rsidRPr="005A72B4" w:rsidRDefault="005A72B4" w:rsidP="005A72B4">
            <w:pPr>
              <w:pStyle w:val="naisf"/>
              <w:spacing w:before="0" w:after="0"/>
              <w:rPr>
                <w:szCs w:val="24"/>
              </w:rPr>
            </w:pPr>
            <w:r w:rsidRPr="005A72B4">
              <w:rPr>
                <w:szCs w:val="24"/>
              </w:rPr>
              <w:t>0</w:t>
            </w:r>
          </w:p>
        </w:tc>
      </w:tr>
      <w:tr w:rsidR="00380DA5" w:rsidRPr="00380DA5" w:rsidTr="00D74A1E">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firstRow="1" w:lastRow="1" w:firstColumn="1" w:lastColumn="1" w:noHBand="0" w:noVBand="0"/>
        </w:tblPrEx>
        <w:trPr>
          <w:jc w:val="center"/>
        </w:trPr>
        <w:tc>
          <w:tcPr>
            <w:tcW w:w="1443" w:type="pct"/>
          </w:tcPr>
          <w:p w:rsidR="00380DA5" w:rsidRPr="00380DA5" w:rsidRDefault="00380DA5" w:rsidP="007532BC">
            <w:pPr>
              <w:jc w:val="both"/>
              <w:rPr>
                <w:szCs w:val="24"/>
                <w:lang w:val="lv-LV"/>
              </w:rPr>
            </w:pPr>
            <w:r w:rsidRPr="00380DA5">
              <w:rPr>
                <w:szCs w:val="24"/>
                <w:lang w:val="lv-LV"/>
              </w:rPr>
              <w:t>3. Finansiālā ietekme:</w:t>
            </w:r>
          </w:p>
        </w:tc>
        <w:tc>
          <w:tcPr>
            <w:tcW w:w="735" w:type="pct"/>
            <w:shd w:val="clear" w:color="auto" w:fill="auto"/>
            <w:vAlign w:val="center"/>
          </w:tcPr>
          <w:p w:rsidR="00380DA5" w:rsidRPr="005A72B4" w:rsidRDefault="007276C2" w:rsidP="005A72B4">
            <w:pPr>
              <w:pStyle w:val="naisf"/>
              <w:spacing w:before="0" w:after="0"/>
              <w:rPr>
                <w:szCs w:val="24"/>
              </w:rPr>
            </w:pPr>
            <w:r w:rsidRPr="005A72B4">
              <w:rPr>
                <w:szCs w:val="24"/>
              </w:rPr>
              <w:t>0</w:t>
            </w:r>
          </w:p>
        </w:tc>
        <w:tc>
          <w:tcPr>
            <w:tcW w:w="724" w:type="pct"/>
          </w:tcPr>
          <w:p w:rsidR="00380DA5" w:rsidRPr="005A72B4" w:rsidRDefault="00666F23" w:rsidP="005A72B4">
            <w:pPr>
              <w:pStyle w:val="naisf"/>
              <w:spacing w:before="0" w:after="0"/>
              <w:rPr>
                <w:szCs w:val="24"/>
              </w:rPr>
            </w:pPr>
            <w:r w:rsidRPr="005A72B4">
              <w:rPr>
                <w:szCs w:val="24"/>
              </w:rPr>
              <w:t>0</w:t>
            </w:r>
          </w:p>
        </w:tc>
        <w:tc>
          <w:tcPr>
            <w:tcW w:w="659" w:type="pct"/>
          </w:tcPr>
          <w:p w:rsidR="00380DA5" w:rsidRPr="005A72B4" w:rsidRDefault="00E5551D" w:rsidP="005A72B4">
            <w:pPr>
              <w:pStyle w:val="naisf"/>
              <w:spacing w:before="0" w:after="0"/>
              <w:rPr>
                <w:szCs w:val="24"/>
              </w:rPr>
            </w:pPr>
            <w:r w:rsidRPr="005A72B4">
              <w:rPr>
                <w:szCs w:val="24"/>
              </w:rPr>
              <w:t>0</w:t>
            </w:r>
          </w:p>
        </w:tc>
        <w:tc>
          <w:tcPr>
            <w:tcW w:w="682" w:type="pct"/>
          </w:tcPr>
          <w:p w:rsidR="00380DA5" w:rsidRPr="005A72B4" w:rsidRDefault="005A72B4" w:rsidP="005A72B4">
            <w:pPr>
              <w:pStyle w:val="naisf"/>
              <w:spacing w:before="0" w:after="0"/>
              <w:rPr>
                <w:szCs w:val="24"/>
              </w:rPr>
            </w:pPr>
            <w:r w:rsidRPr="005A72B4">
              <w:rPr>
                <w:szCs w:val="24"/>
              </w:rPr>
              <w:t>0</w:t>
            </w:r>
          </w:p>
        </w:tc>
        <w:tc>
          <w:tcPr>
            <w:tcW w:w="757" w:type="pct"/>
          </w:tcPr>
          <w:p w:rsidR="00380DA5" w:rsidRPr="005A72B4" w:rsidRDefault="005A72B4" w:rsidP="005A72B4">
            <w:pPr>
              <w:pStyle w:val="naisf"/>
              <w:spacing w:before="0" w:after="0"/>
              <w:rPr>
                <w:szCs w:val="24"/>
              </w:rPr>
            </w:pPr>
            <w:r w:rsidRPr="005A72B4">
              <w:rPr>
                <w:szCs w:val="24"/>
              </w:rPr>
              <w:t>0</w:t>
            </w:r>
          </w:p>
        </w:tc>
      </w:tr>
      <w:tr w:rsidR="00380DA5" w:rsidRPr="00380DA5" w:rsidTr="00D74A1E">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firstRow="1" w:lastRow="1" w:firstColumn="1" w:lastColumn="1" w:noHBand="0" w:noVBand="0"/>
        </w:tblPrEx>
        <w:trPr>
          <w:jc w:val="center"/>
        </w:trPr>
        <w:tc>
          <w:tcPr>
            <w:tcW w:w="1443" w:type="pct"/>
          </w:tcPr>
          <w:p w:rsidR="00380DA5" w:rsidRPr="00380DA5" w:rsidRDefault="00380DA5" w:rsidP="007532BC">
            <w:pPr>
              <w:jc w:val="both"/>
              <w:rPr>
                <w:szCs w:val="24"/>
                <w:lang w:val="lv-LV"/>
              </w:rPr>
            </w:pPr>
            <w:r w:rsidRPr="00380DA5">
              <w:rPr>
                <w:szCs w:val="24"/>
                <w:lang w:val="lv-LV"/>
              </w:rPr>
              <w:t>3.1. valsts pamatbudžets</w:t>
            </w:r>
          </w:p>
        </w:tc>
        <w:tc>
          <w:tcPr>
            <w:tcW w:w="735" w:type="pct"/>
            <w:shd w:val="clear" w:color="auto" w:fill="auto"/>
          </w:tcPr>
          <w:p w:rsidR="00380DA5" w:rsidRPr="005A72B4" w:rsidRDefault="007276C2" w:rsidP="005A72B4">
            <w:pPr>
              <w:pStyle w:val="naisf"/>
              <w:spacing w:before="0" w:after="0"/>
              <w:rPr>
                <w:szCs w:val="24"/>
              </w:rPr>
            </w:pPr>
            <w:r w:rsidRPr="005A72B4">
              <w:rPr>
                <w:szCs w:val="24"/>
              </w:rPr>
              <w:t>0</w:t>
            </w:r>
          </w:p>
        </w:tc>
        <w:tc>
          <w:tcPr>
            <w:tcW w:w="724" w:type="pct"/>
          </w:tcPr>
          <w:p w:rsidR="00380DA5" w:rsidRPr="005A72B4" w:rsidRDefault="00666F23" w:rsidP="005A72B4">
            <w:pPr>
              <w:rPr>
                <w:szCs w:val="24"/>
                <w:vertAlign w:val="subscript"/>
                <w:lang w:val="lv-LV"/>
              </w:rPr>
            </w:pPr>
            <w:r w:rsidRPr="005A72B4">
              <w:rPr>
                <w:szCs w:val="24"/>
                <w:lang w:val="lv-LV"/>
              </w:rPr>
              <w:t>0</w:t>
            </w:r>
          </w:p>
        </w:tc>
        <w:tc>
          <w:tcPr>
            <w:tcW w:w="659" w:type="pct"/>
          </w:tcPr>
          <w:p w:rsidR="00380DA5" w:rsidRPr="005A72B4" w:rsidRDefault="00E5551D" w:rsidP="005A72B4">
            <w:pPr>
              <w:pStyle w:val="naisf"/>
              <w:spacing w:before="0" w:after="0"/>
              <w:rPr>
                <w:szCs w:val="24"/>
              </w:rPr>
            </w:pPr>
            <w:r w:rsidRPr="005A72B4">
              <w:rPr>
                <w:szCs w:val="24"/>
              </w:rPr>
              <w:t>0</w:t>
            </w:r>
          </w:p>
        </w:tc>
        <w:tc>
          <w:tcPr>
            <w:tcW w:w="682" w:type="pct"/>
          </w:tcPr>
          <w:p w:rsidR="00380DA5" w:rsidRPr="005A72B4" w:rsidRDefault="005A72B4" w:rsidP="005A72B4">
            <w:pPr>
              <w:pStyle w:val="naisf"/>
              <w:spacing w:before="0" w:after="0"/>
              <w:rPr>
                <w:szCs w:val="24"/>
              </w:rPr>
            </w:pPr>
            <w:r w:rsidRPr="005A72B4">
              <w:rPr>
                <w:szCs w:val="24"/>
              </w:rPr>
              <w:t>0</w:t>
            </w:r>
          </w:p>
        </w:tc>
        <w:tc>
          <w:tcPr>
            <w:tcW w:w="757" w:type="pct"/>
          </w:tcPr>
          <w:p w:rsidR="00380DA5" w:rsidRPr="005A72B4" w:rsidRDefault="005A72B4" w:rsidP="005A72B4">
            <w:pPr>
              <w:pStyle w:val="naisf"/>
              <w:spacing w:before="0" w:after="0"/>
              <w:rPr>
                <w:szCs w:val="24"/>
              </w:rPr>
            </w:pPr>
            <w:r w:rsidRPr="005A72B4">
              <w:rPr>
                <w:szCs w:val="24"/>
              </w:rPr>
              <w:t>0</w:t>
            </w:r>
          </w:p>
        </w:tc>
      </w:tr>
      <w:tr w:rsidR="00380DA5" w:rsidRPr="00380DA5" w:rsidTr="00D74A1E">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firstRow="1" w:lastRow="1" w:firstColumn="1" w:lastColumn="1" w:noHBand="0" w:noVBand="0"/>
        </w:tblPrEx>
        <w:trPr>
          <w:jc w:val="center"/>
        </w:trPr>
        <w:tc>
          <w:tcPr>
            <w:tcW w:w="1443" w:type="pct"/>
          </w:tcPr>
          <w:p w:rsidR="00380DA5" w:rsidRPr="00380DA5" w:rsidRDefault="00380DA5" w:rsidP="007532BC">
            <w:pPr>
              <w:jc w:val="both"/>
              <w:rPr>
                <w:szCs w:val="24"/>
                <w:lang w:val="lv-LV"/>
              </w:rPr>
            </w:pPr>
            <w:r w:rsidRPr="00380DA5">
              <w:rPr>
                <w:szCs w:val="24"/>
                <w:lang w:val="lv-LV"/>
              </w:rPr>
              <w:t>3.2. speciālais budžets</w:t>
            </w:r>
          </w:p>
        </w:tc>
        <w:tc>
          <w:tcPr>
            <w:tcW w:w="735" w:type="pct"/>
            <w:shd w:val="clear" w:color="auto" w:fill="auto"/>
          </w:tcPr>
          <w:p w:rsidR="00380DA5" w:rsidRPr="005A72B4" w:rsidRDefault="007276C2" w:rsidP="005A72B4">
            <w:pPr>
              <w:pStyle w:val="naisf"/>
              <w:spacing w:before="0" w:after="0"/>
              <w:rPr>
                <w:szCs w:val="24"/>
              </w:rPr>
            </w:pPr>
            <w:r w:rsidRPr="005A72B4">
              <w:rPr>
                <w:szCs w:val="24"/>
              </w:rPr>
              <w:t>0</w:t>
            </w:r>
          </w:p>
        </w:tc>
        <w:tc>
          <w:tcPr>
            <w:tcW w:w="724" w:type="pct"/>
          </w:tcPr>
          <w:p w:rsidR="00380DA5" w:rsidRPr="005A72B4" w:rsidRDefault="00666F23" w:rsidP="005A72B4">
            <w:pPr>
              <w:pStyle w:val="naisf"/>
              <w:spacing w:before="0" w:after="0"/>
              <w:rPr>
                <w:szCs w:val="24"/>
              </w:rPr>
            </w:pPr>
            <w:r w:rsidRPr="005A72B4">
              <w:rPr>
                <w:szCs w:val="24"/>
              </w:rPr>
              <w:t>0</w:t>
            </w:r>
          </w:p>
        </w:tc>
        <w:tc>
          <w:tcPr>
            <w:tcW w:w="659" w:type="pct"/>
          </w:tcPr>
          <w:p w:rsidR="00380DA5" w:rsidRPr="005A72B4" w:rsidRDefault="00E5551D" w:rsidP="005A72B4">
            <w:pPr>
              <w:pStyle w:val="naisf"/>
              <w:spacing w:before="0" w:after="0"/>
              <w:rPr>
                <w:szCs w:val="24"/>
              </w:rPr>
            </w:pPr>
            <w:r w:rsidRPr="005A72B4">
              <w:rPr>
                <w:szCs w:val="24"/>
              </w:rPr>
              <w:t>0</w:t>
            </w:r>
          </w:p>
        </w:tc>
        <w:tc>
          <w:tcPr>
            <w:tcW w:w="682" w:type="pct"/>
          </w:tcPr>
          <w:p w:rsidR="00380DA5" w:rsidRPr="005A72B4" w:rsidRDefault="005A72B4" w:rsidP="005A72B4">
            <w:pPr>
              <w:pStyle w:val="naisf"/>
              <w:spacing w:before="0" w:after="0"/>
              <w:rPr>
                <w:szCs w:val="24"/>
              </w:rPr>
            </w:pPr>
            <w:r w:rsidRPr="005A72B4">
              <w:rPr>
                <w:szCs w:val="24"/>
              </w:rPr>
              <w:t>0</w:t>
            </w:r>
          </w:p>
        </w:tc>
        <w:tc>
          <w:tcPr>
            <w:tcW w:w="757" w:type="pct"/>
          </w:tcPr>
          <w:p w:rsidR="00380DA5" w:rsidRPr="005A72B4" w:rsidRDefault="005A72B4" w:rsidP="005A72B4">
            <w:pPr>
              <w:pStyle w:val="naisf"/>
              <w:spacing w:before="0" w:after="0"/>
              <w:rPr>
                <w:szCs w:val="24"/>
              </w:rPr>
            </w:pPr>
            <w:r w:rsidRPr="005A72B4">
              <w:rPr>
                <w:szCs w:val="24"/>
              </w:rPr>
              <w:t>0</w:t>
            </w:r>
          </w:p>
        </w:tc>
      </w:tr>
      <w:tr w:rsidR="00380DA5" w:rsidRPr="00380DA5" w:rsidTr="00D74A1E">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firstRow="1" w:lastRow="1" w:firstColumn="1" w:lastColumn="1" w:noHBand="0" w:noVBand="0"/>
        </w:tblPrEx>
        <w:trPr>
          <w:jc w:val="center"/>
        </w:trPr>
        <w:tc>
          <w:tcPr>
            <w:tcW w:w="1443" w:type="pct"/>
          </w:tcPr>
          <w:p w:rsidR="00380DA5" w:rsidRPr="00380DA5" w:rsidRDefault="00380DA5" w:rsidP="007532BC">
            <w:pPr>
              <w:jc w:val="both"/>
              <w:rPr>
                <w:szCs w:val="24"/>
                <w:lang w:val="lv-LV"/>
              </w:rPr>
            </w:pPr>
            <w:r w:rsidRPr="00380DA5">
              <w:rPr>
                <w:szCs w:val="24"/>
                <w:lang w:val="lv-LV"/>
              </w:rPr>
              <w:t xml:space="preserve">3.3. pašvaldību budžets </w:t>
            </w:r>
          </w:p>
        </w:tc>
        <w:tc>
          <w:tcPr>
            <w:tcW w:w="735" w:type="pct"/>
            <w:shd w:val="clear" w:color="auto" w:fill="auto"/>
          </w:tcPr>
          <w:p w:rsidR="00380DA5" w:rsidRPr="005A72B4" w:rsidRDefault="007276C2" w:rsidP="005A72B4">
            <w:pPr>
              <w:pStyle w:val="naisf"/>
              <w:spacing w:before="0" w:after="0"/>
              <w:rPr>
                <w:szCs w:val="24"/>
              </w:rPr>
            </w:pPr>
            <w:r w:rsidRPr="005A72B4">
              <w:rPr>
                <w:szCs w:val="24"/>
              </w:rPr>
              <w:t>0</w:t>
            </w:r>
          </w:p>
        </w:tc>
        <w:tc>
          <w:tcPr>
            <w:tcW w:w="724" w:type="pct"/>
          </w:tcPr>
          <w:p w:rsidR="00380DA5" w:rsidRPr="005A72B4" w:rsidRDefault="00666F23" w:rsidP="005A72B4">
            <w:pPr>
              <w:pStyle w:val="naisf"/>
              <w:spacing w:before="0" w:after="0"/>
              <w:rPr>
                <w:szCs w:val="24"/>
              </w:rPr>
            </w:pPr>
            <w:r w:rsidRPr="005A72B4">
              <w:rPr>
                <w:szCs w:val="24"/>
              </w:rPr>
              <w:t>0</w:t>
            </w:r>
          </w:p>
        </w:tc>
        <w:tc>
          <w:tcPr>
            <w:tcW w:w="659" w:type="pct"/>
          </w:tcPr>
          <w:p w:rsidR="00380DA5" w:rsidRPr="005A72B4" w:rsidRDefault="00E5551D" w:rsidP="005A72B4">
            <w:pPr>
              <w:pStyle w:val="naisf"/>
              <w:spacing w:before="0" w:after="0"/>
              <w:rPr>
                <w:szCs w:val="24"/>
              </w:rPr>
            </w:pPr>
            <w:r w:rsidRPr="005A72B4">
              <w:rPr>
                <w:szCs w:val="24"/>
              </w:rPr>
              <w:t>0</w:t>
            </w:r>
          </w:p>
        </w:tc>
        <w:tc>
          <w:tcPr>
            <w:tcW w:w="682" w:type="pct"/>
          </w:tcPr>
          <w:p w:rsidR="00380DA5" w:rsidRPr="005A72B4" w:rsidRDefault="005A72B4" w:rsidP="005A72B4">
            <w:pPr>
              <w:pStyle w:val="naisf"/>
              <w:spacing w:before="0" w:after="0"/>
              <w:rPr>
                <w:szCs w:val="24"/>
              </w:rPr>
            </w:pPr>
            <w:r w:rsidRPr="005A72B4">
              <w:rPr>
                <w:szCs w:val="24"/>
              </w:rPr>
              <w:t>0</w:t>
            </w:r>
          </w:p>
        </w:tc>
        <w:tc>
          <w:tcPr>
            <w:tcW w:w="757" w:type="pct"/>
          </w:tcPr>
          <w:p w:rsidR="00380DA5" w:rsidRPr="005A72B4" w:rsidRDefault="005A72B4" w:rsidP="005A72B4">
            <w:pPr>
              <w:pStyle w:val="naisf"/>
              <w:spacing w:before="0" w:after="0"/>
              <w:rPr>
                <w:szCs w:val="24"/>
              </w:rPr>
            </w:pPr>
            <w:r w:rsidRPr="005A72B4">
              <w:rPr>
                <w:szCs w:val="24"/>
              </w:rPr>
              <w:t>0</w:t>
            </w:r>
          </w:p>
        </w:tc>
      </w:tr>
      <w:tr w:rsidR="00380DA5" w:rsidRPr="00380DA5" w:rsidTr="00D74A1E">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firstRow="1" w:lastRow="1" w:firstColumn="1" w:lastColumn="1" w:noHBand="0" w:noVBand="0"/>
        </w:tblPrEx>
        <w:trPr>
          <w:jc w:val="center"/>
        </w:trPr>
        <w:tc>
          <w:tcPr>
            <w:tcW w:w="1443" w:type="pct"/>
            <w:vMerge w:val="restart"/>
          </w:tcPr>
          <w:p w:rsidR="00380DA5" w:rsidRPr="00380DA5" w:rsidRDefault="00380DA5" w:rsidP="007532BC">
            <w:pPr>
              <w:jc w:val="both"/>
              <w:rPr>
                <w:szCs w:val="24"/>
                <w:lang w:val="lv-LV"/>
              </w:rPr>
            </w:pPr>
            <w:r w:rsidRPr="00380DA5">
              <w:rPr>
                <w:szCs w:val="24"/>
                <w:lang w:val="lv-LV"/>
              </w:rPr>
              <w:t>4. Finanšu līdzekļi papildu izde</w:t>
            </w:r>
            <w:r w:rsidRPr="00380DA5">
              <w:rPr>
                <w:szCs w:val="24"/>
                <w:lang w:val="lv-LV"/>
              </w:rPr>
              <w:softHyphen/>
              <w:t>vumu finansēšanai (kompensējošu izdevumu samazinājumu norāda ar "+" zīmi)</w:t>
            </w:r>
          </w:p>
        </w:tc>
        <w:tc>
          <w:tcPr>
            <w:tcW w:w="735" w:type="pct"/>
            <w:vMerge w:val="restart"/>
            <w:vAlign w:val="center"/>
          </w:tcPr>
          <w:p w:rsidR="00380DA5" w:rsidRPr="005A72B4" w:rsidRDefault="00380DA5" w:rsidP="005A72B4">
            <w:pPr>
              <w:pStyle w:val="naisf"/>
              <w:spacing w:before="0" w:after="0"/>
              <w:rPr>
                <w:szCs w:val="24"/>
              </w:rPr>
            </w:pPr>
            <w:r w:rsidRPr="005A72B4">
              <w:rPr>
                <w:szCs w:val="24"/>
              </w:rPr>
              <w:t>X</w:t>
            </w:r>
          </w:p>
          <w:p w:rsidR="00380DA5" w:rsidRPr="005A72B4" w:rsidRDefault="00380DA5" w:rsidP="005A72B4">
            <w:pPr>
              <w:rPr>
                <w:szCs w:val="24"/>
                <w:lang w:val="lv-LV"/>
              </w:rPr>
            </w:pPr>
          </w:p>
        </w:tc>
        <w:tc>
          <w:tcPr>
            <w:tcW w:w="724" w:type="pct"/>
          </w:tcPr>
          <w:p w:rsidR="00380DA5" w:rsidRPr="005A72B4" w:rsidRDefault="00666F23" w:rsidP="005A72B4">
            <w:pPr>
              <w:pStyle w:val="naisf"/>
              <w:spacing w:before="0" w:after="0"/>
              <w:rPr>
                <w:szCs w:val="24"/>
              </w:rPr>
            </w:pPr>
            <w:r w:rsidRPr="005A72B4">
              <w:rPr>
                <w:szCs w:val="24"/>
              </w:rPr>
              <w:t>0</w:t>
            </w:r>
          </w:p>
        </w:tc>
        <w:tc>
          <w:tcPr>
            <w:tcW w:w="659" w:type="pct"/>
          </w:tcPr>
          <w:p w:rsidR="00380DA5" w:rsidRPr="005A72B4" w:rsidRDefault="00E5551D" w:rsidP="005A72B4">
            <w:pPr>
              <w:pStyle w:val="naisf"/>
              <w:spacing w:before="0" w:after="0"/>
              <w:rPr>
                <w:szCs w:val="24"/>
              </w:rPr>
            </w:pPr>
            <w:r w:rsidRPr="005A72B4">
              <w:rPr>
                <w:szCs w:val="24"/>
              </w:rPr>
              <w:t>0</w:t>
            </w:r>
          </w:p>
        </w:tc>
        <w:tc>
          <w:tcPr>
            <w:tcW w:w="682" w:type="pct"/>
          </w:tcPr>
          <w:p w:rsidR="00380DA5" w:rsidRPr="005A72B4" w:rsidRDefault="005A72B4" w:rsidP="005A72B4">
            <w:pPr>
              <w:pStyle w:val="naisf"/>
              <w:spacing w:before="0" w:after="0"/>
              <w:rPr>
                <w:szCs w:val="24"/>
              </w:rPr>
            </w:pPr>
            <w:r w:rsidRPr="005A72B4">
              <w:rPr>
                <w:szCs w:val="24"/>
              </w:rPr>
              <w:t>0</w:t>
            </w:r>
          </w:p>
        </w:tc>
        <w:tc>
          <w:tcPr>
            <w:tcW w:w="757" w:type="pct"/>
          </w:tcPr>
          <w:p w:rsidR="00380DA5" w:rsidRPr="005A72B4" w:rsidRDefault="005A72B4" w:rsidP="005A72B4">
            <w:pPr>
              <w:pStyle w:val="naisf"/>
              <w:spacing w:before="0" w:after="0"/>
              <w:rPr>
                <w:szCs w:val="24"/>
              </w:rPr>
            </w:pPr>
            <w:r w:rsidRPr="005A72B4">
              <w:rPr>
                <w:szCs w:val="24"/>
              </w:rPr>
              <w:t>0</w:t>
            </w:r>
          </w:p>
        </w:tc>
      </w:tr>
      <w:tr w:rsidR="00380DA5" w:rsidRPr="00380DA5" w:rsidTr="00D74A1E">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firstRow="1" w:lastRow="1" w:firstColumn="1" w:lastColumn="1" w:noHBand="0" w:noVBand="0"/>
        </w:tblPrEx>
        <w:trPr>
          <w:jc w:val="center"/>
        </w:trPr>
        <w:tc>
          <w:tcPr>
            <w:tcW w:w="1443" w:type="pct"/>
            <w:vMerge/>
          </w:tcPr>
          <w:p w:rsidR="00380DA5" w:rsidRPr="00380DA5" w:rsidRDefault="00380DA5" w:rsidP="007532BC">
            <w:pPr>
              <w:jc w:val="both"/>
              <w:rPr>
                <w:szCs w:val="24"/>
                <w:lang w:val="lv-LV"/>
              </w:rPr>
            </w:pPr>
          </w:p>
        </w:tc>
        <w:tc>
          <w:tcPr>
            <w:tcW w:w="735" w:type="pct"/>
            <w:vMerge/>
            <w:vAlign w:val="center"/>
          </w:tcPr>
          <w:p w:rsidR="00380DA5" w:rsidRPr="005A72B4" w:rsidRDefault="00380DA5" w:rsidP="005A72B4">
            <w:pPr>
              <w:pStyle w:val="naisf"/>
              <w:spacing w:before="0" w:after="0"/>
              <w:rPr>
                <w:szCs w:val="24"/>
              </w:rPr>
            </w:pPr>
          </w:p>
        </w:tc>
        <w:tc>
          <w:tcPr>
            <w:tcW w:w="724" w:type="pct"/>
          </w:tcPr>
          <w:p w:rsidR="00380DA5" w:rsidRPr="005A72B4" w:rsidRDefault="00666F23" w:rsidP="005A72B4">
            <w:pPr>
              <w:pStyle w:val="naisf"/>
              <w:spacing w:before="0" w:after="0"/>
              <w:rPr>
                <w:szCs w:val="24"/>
              </w:rPr>
            </w:pPr>
            <w:r w:rsidRPr="005A72B4">
              <w:rPr>
                <w:szCs w:val="24"/>
              </w:rPr>
              <w:t>0</w:t>
            </w:r>
          </w:p>
        </w:tc>
        <w:tc>
          <w:tcPr>
            <w:tcW w:w="659" w:type="pct"/>
          </w:tcPr>
          <w:p w:rsidR="00380DA5" w:rsidRPr="005A72B4" w:rsidRDefault="00E5551D" w:rsidP="005A72B4">
            <w:pPr>
              <w:pStyle w:val="naisf"/>
              <w:spacing w:before="0" w:after="0"/>
              <w:rPr>
                <w:szCs w:val="24"/>
              </w:rPr>
            </w:pPr>
            <w:r w:rsidRPr="005A72B4">
              <w:rPr>
                <w:szCs w:val="24"/>
              </w:rPr>
              <w:t>0</w:t>
            </w:r>
          </w:p>
        </w:tc>
        <w:tc>
          <w:tcPr>
            <w:tcW w:w="682" w:type="pct"/>
          </w:tcPr>
          <w:p w:rsidR="00380DA5" w:rsidRPr="005A72B4" w:rsidRDefault="005A72B4" w:rsidP="005A72B4">
            <w:pPr>
              <w:pStyle w:val="naisf"/>
              <w:spacing w:before="0" w:after="0"/>
              <w:rPr>
                <w:szCs w:val="24"/>
              </w:rPr>
            </w:pPr>
            <w:r w:rsidRPr="005A72B4">
              <w:rPr>
                <w:szCs w:val="24"/>
              </w:rPr>
              <w:t>0</w:t>
            </w:r>
          </w:p>
        </w:tc>
        <w:tc>
          <w:tcPr>
            <w:tcW w:w="757" w:type="pct"/>
          </w:tcPr>
          <w:p w:rsidR="00380DA5" w:rsidRPr="005A72B4" w:rsidRDefault="005A72B4" w:rsidP="005A72B4">
            <w:pPr>
              <w:pStyle w:val="naisf"/>
              <w:spacing w:before="0" w:after="0"/>
              <w:rPr>
                <w:szCs w:val="24"/>
              </w:rPr>
            </w:pPr>
            <w:r w:rsidRPr="005A72B4">
              <w:rPr>
                <w:szCs w:val="24"/>
              </w:rPr>
              <w:t>0</w:t>
            </w:r>
          </w:p>
        </w:tc>
      </w:tr>
      <w:tr w:rsidR="00380DA5" w:rsidRPr="00380DA5" w:rsidTr="00D74A1E">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firstRow="1" w:lastRow="1" w:firstColumn="1" w:lastColumn="1" w:noHBand="0" w:noVBand="0"/>
        </w:tblPrEx>
        <w:trPr>
          <w:jc w:val="center"/>
        </w:trPr>
        <w:tc>
          <w:tcPr>
            <w:tcW w:w="1443" w:type="pct"/>
            <w:vMerge/>
          </w:tcPr>
          <w:p w:rsidR="00380DA5" w:rsidRPr="00380DA5" w:rsidRDefault="00380DA5" w:rsidP="007532BC">
            <w:pPr>
              <w:jc w:val="both"/>
              <w:rPr>
                <w:szCs w:val="24"/>
                <w:lang w:val="lv-LV"/>
              </w:rPr>
            </w:pPr>
          </w:p>
        </w:tc>
        <w:tc>
          <w:tcPr>
            <w:tcW w:w="735" w:type="pct"/>
            <w:vMerge/>
            <w:vAlign w:val="center"/>
          </w:tcPr>
          <w:p w:rsidR="00380DA5" w:rsidRPr="005A72B4" w:rsidRDefault="00380DA5" w:rsidP="005A72B4">
            <w:pPr>
              <w:pStyle w:val="naisf"/>
              <w:spacing w:before="0" w:after="0"/>
              <w:rPr>
                <w:szCs w:val="24"/>
              </w:rPr>
            </w:pPr>
          </w:p>
        </w:tc>
        <w:tc>
          <w:tcPr>
            <w:tcW w:w="724" w:type="pct"/>
          </w:tcPr>
          <w:p w:rsidR="00380DA5" w:rsidRPr="005A72B4" w:rsidRDefault="00666F23" w:rsidP="005A72B4">
            <w:pPr>
              <w:pStyle w:val="naisf"/>
              <w:spacing w:before="0" w:after="0"/>
              <w:rPr>
                <w:szCs w:val="24"/>
              </w:rPr>
            </w:pPr>
            <w:r w:rsidRPr="005A72B4">
              <w:rPr>
                <w:szCs w:val="24"/>
              </w:rPr>
              <w:t>0</w:t>
            </w:r>
          </w:p>
        </w:tc>
        <w:tc>
          <w:tcPr>
            <w:tcW w:w="659" w:type="pct"/>
          </w:tcPr>
          <w:p w:rsidR="00380DA5" w:rsidRPr="005A72B4" w:rsidRDefault="00E5551D" w:rsidP="005A72B4">
            <w:pPr>
              <w:pStyle w:val="naisf"/>
              <w:spacing w:before="0" w:after="0"/>
              <w:rPr>
                <w:szCs w:val="24"/>
              </w:rPr>
            </w:pPr>
            <w:r w:rsidRPr="005A72B4">
              <w:rPr>
                <w:szCs w:val="24"/>
              </w:rPr>
              <w:t>0</w:t>
            </w:r>
          </w:p>
        </w:tc>
        <w:tc>
          <w:tcPr>
            <w:tcW w:w="682" w:type="pct"/>
          </w:tcPr>
          <w:p w:rsidR="00380DA5" w:rsidRPr="005A72B4" w:rsidRDefault="005A72B4" w:rsidP="005A72B4">
            <w:pPr>
              <w:pStyle w:val="naisf"/>
              <w:spacing w:before="0" w:after="0"/>
              <w:rPr>
                <w:szCs w:val="24"/>
              </w:rPr>
            </w:pPr>
            <w:r w:rsidRPr="005A72B4">
              <w:rPr>
                <w:szCs w:val="24"/>
              </w:rPr>
              <w:t>0</w:t>
            </w:r>
          </w:p>
        </w:tc>
        <w:tc>
          <w:tcPr>
            <w:tcW w:w="757" w:type="pct"/>
          </w:tcPr>
          <w:p w:rsidR="00380DA5" w:rsidRPr="005A72B4" w:rsidRDefault="005A72B4" w:rsidP="005A72B4">
            <w:pPr>
              <w:pStyle w:val="naisf"/>
              <w:spacing w:before="0" w:after="0"/>
              <w:rPr>
                <w:szCs w:val="24"/>
              </w:rPr>
            </w:pPr>
            <w:r w:rsidRPr="005A72B4">
              <w:rPr>
                <w:szCs w:val="24"/>
              </w:rPr>
              <w:t>0</w:t>
            </w:r>
          </w:p>
        </w:tc>
      </w:tr>
      <w:tr w:rsidR="00380DA5" w:rsidRPr="00380DA5" w:rsidTr="00D74A1E">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firstRow="1" w:lastRow="1" w:firstColumn="1" w:lastColumn="1" w:noHBand="0" w:noVBand="0"/>
        </w:tblPrEx>
        <w:trPr>
          <w:jc w:val="center"/>
        </w:trPr>
        <w:tc>
          <w:tcPr>
            <w:tcW w:w="1443" w:type="pct"/>
          </w:tcPr>
          <w:p w:rsidR="00380DA5" w:rsidRPr="00380DA5" w:rsidRDefault="00380DA5" w:rsidP="007532BC">
            <w:pPr>
              <w:jc w:val="both"/>
              <w:rPr>
                <w:szCs w:val="24"/>
                <w:lang w:val="lv-LV"/>
              </w:rPr>
            </w:pPr>
            <w:r w:rsidRPr="00380DA5">
              <w:rPr>
                <w:szCs w:val="24"/>
                <w:lang w:val="lv-LV"/>
              </w:rPr>
              <w:t>5. Precizēta finansiālā ietekme:</w:t>
            </w:r>
          </w:p>
        </w:tc>
        <w:tc>
          <w:tcPr>
            <w:tcW w:w="735" w:type="pct"/>
            <w:vMerge w:val="restart"/>
            <w:vAlign w:val="center"/>
          </w:tcPr>
          <w:p w:rsidR="00380DA5" w:rsidRPr="005A72B4" w:rsidRDefault="00380DA5" w:rsidP="005A72B4">
            <w:pPr>
              <w:pStyle w:val="naisf"/>
              <w:spacing w:before="0" w:after="0"/>
              <w:rPr>
                <w:szCs w:val="24"/>
              </w:rPr>
            </w:pPr>
            <w:r w:rsidRPr="005A72B4">
              <w:rPr>
                <w:szCs w:val="24"/>
              </w:rPr>
              <w:t>X</w:t>
            </w:r>
          </w:p>
          <w:p w:rsidR="00380DA5" w:rsidRPr="005A72B4" w:rsidRDefault="00380DA5" w:rsidP="005A72B4">
            <w:pPr>
              <w:pStyle w:val="naisf"/>
              <w:spacing w:before="0" w:after="0"/>
              <w:rPr>
                <w:szCs w:val="24"/>
              </w:rPr>
            </w:pPr>
          </w:p>
        </w:tc>
        <w:tc>
          <w:tcPr>
            <w:tcW w:w="724" w:type="pct"/>
          </w:tcPr>
          <w:p w:rsidR="00380DA5" w:rsidRPr="005A72B4" w:rsidRDefault="00666F23" w:rsidP="005A72B4">
            <w:pPr>
              <w:pStyle w:val="naisf"/>
              <w:spacing w:before="0" w:after="0"/>
              <w:rPr>
                <w:szCs w:val="24"/>
              </w:rPr>
            </w:pPr>
            <w:r w:rsidRPr="005A72B4">
              <w:rPr>
                <w:szCs w:val="24"/>
              </w:rPr>
              <w:t>0</w:t>
            </w:r>
          </w:p>
        </w:tc>
        <w:tc>
          <w:tcPr>
            <w:tcW w:w="659" w:type="pct"/>
          </w:tcPr>
          <w:p w:rsidR="00380DA5" w:rsidRPr="005A72B4" w:rsidRDefault="00E5551D" w:rsidP="005A72B4">
            <w:pPr>
              <w:pStyle w:val="naisf"/>
              <w:spacing w:before="0" w:after="0"/>
              <w:rPr>
                <w:szCs w:val="24"/>
              </w:rPr>
            </w:pPr>
            <w:r w:rsidRPr="005A72B4">
              <w:rPr>
                <w:szCs w:val="24"/>
              </w:rPr>
              <w:t>0</w:t>
            </w:r>
          </w:p>
        </w:tc>
        <w:tc>
          <w:tcPr>
            <w:tcW w:w="682" w:type="pct"/>
          </w:tcPr>
          <w:p w:rsidR="00380DA5" w:rsidRPr="005A72B4" w:rsidRDefault="005A72B4" w:rsidP="005A72B4">
            <w:pPr>
              <w:pStyle w:val="naisf"/>
              <w:spacing w:before="0" w:after="0"/>
              <w:rPr>
                <w:szCs w:val="24"/>
              </w:rPr>
            </w:pPr>
            <w:r w:rsidRPr="005A72B4">
              <w:rPr>
                <w:szCs w:val="24"/>
              </w:rPr>
              <w:t>0</w:t>
            </w:r>
          </w:p>
        </w:tc>
        <w:tc>
          <w:tcPr>
            <w:tcW w:w="757" w:type="pct"/>
          </w:tcPr>
          <w:p w:rsidR="00380DA5" w:rsidRPr="005A72B4" w:rsidRDefault="005A72B4" w:rsidP="005A72B4">
            <w:pPr>
              <w:pStyle w:val="naisf"/>
              <w:spacing w:before="0" w:after="0"/>
              <w:rPr>
                <w:szCs w:val="24"/>
              </w:rPr>
            </w:pPr>
            <w:r w:rsidRPr="005A72B4">
              <w:rPr>
                <w:szCs w:val="24"/>
              </w:rPr>
              <w:t>0</w:t>
            </w:r>
          </w:p>
        </w:tc>
      </w:tr>
      <w:tr w:rsidR="00380DA5" w:rsidRPr="00380DA5" w:rsidTr="00D74A1E">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firstRow="1" w:lastRow="1" w:firstColumn="1" w:lastColumn="1" w:noHBand="0" w:noVBand="0"/>
        </w:tblPrEx>
        <w:trPr>
          <w:jc w:val="center"/>
        </w:trPr>
        <w:tc>
          <w:tcPr>
            <w:tcW w:w="1443" w:type="pct"/>
          </w:tcPr>
          <w:p w:rsidR="00380DA5" w:rsidRPr="00380DA5" w:rsidRDefault="00380DA5" w:rsidP="007532BC">
            <w:pPr>
              <w:jc w:val="both"/>
              <w:rPr>
                <w:szCs w:val="24"/>
                <w:lang w:val="lv-LV"/>
              </w:rPr>
            </w:pPr>
            <w:r w:rsidRPr="00380DA5">
              <w:rPr>
                <w:szCs w:val="24"/>
                <w:lang w:val="lv-LV"/>
              </w:rPr>
              <w:t>5.1. valsts pamatbudžets</w:t>
            </w:r>
          </w:p>
        </w:tc>
        <w:tc>
          <w:tcPr>
            <w:tcW w:w="735" w:type="pct"/>
            <w:vMerge/>
            <w:vAlign w:val="center"/>
          </w:tcPr>
          <w:p w:rsidR="00380DA5" w:rsidRPr="005A72B4" w:rsidRDefault="00380DA5" w:rsidP="005A72B4">
            <w:pPr>
              <w:pStyle w:val="naisf"/>
              <w:spacing w:before="0" w:after="0"/>
              <w:rPr>
                <w:szCs w:val="24"/>
              </w:rPr>
            </w:pPr>
          </w:p>
        </w:tc>
        <w:tc>
          <w:tcPr>
            <w:tcW w:w="724" w:type="pct"/>
          </w:tcPr>
          <w:p w:rsidR="00380DA5" w:rsidRPr="005A72B4" w:rsidRDefault="00666F23" w:rsidP="005A72B4">
            <w:pPr>
              <w:rPr>
                <w:szCs w:val="24"/>
                <w:vertAlign w:val="subscript"/>
                <w:lang w:val="lv-LV"/>
              </w:rPr>
            </w:pPr>
            <w:r w:rsidRPr="005A72B4">
              <w:rPr>
                <w:szCs w:val="24"/>
                <w:lang w:val="lv-LV"/>
              </w:rPr>
              <w:t>0</w:t>
            </w:r>
          </w:p>
        </w:tc>
        <w:tc>
          <w:tcPr>
            <w:tcW w:w="659" w:type="pct"/>
          </w:tcPr>
          <w:p w:rsidR="00380DA5" w:rsidRPr="005A72B4" w:rsidRDefault="00E5551D" w:rsidP="005A72B4">
            <w:pPr>
              <w:pStyle w:val="naisf"/>
              <w:spacing w:before="0" w:after="0"/>
              <w:rPr>
                <w:szCs w:val="24"/>
              </w:rPr>
            </w:pPr>
            <w:r w:rsidRPr="005A72B4">
              <w:rPr>
                <w:szCs w:val="24"/>
              </w:rPr>
              <w:t>0</w:t>
            </w:r>
          </w:p>
        </w:tc>
        <w:tc>
          <w:tcPr>
            <w:tcW w:w="682" w:type="pct"/>
          </w:tcPr>
          <w:p w:rsidR="00380DA5" w:rsidRPr="005A72B4" w:rsidRDefault="005A72B4" w:rsidP="005A72B4">
            <w:pPr>
              <w:pStyle w:val="naisf"/>
              <w:spacing w:before="0" w:after="0"/>
              <w:rPr>
                <w:szCs w:val="24"/>
              </w:rPr>
            </w:pPr>
            <w:r w:rsidRPr="005A72B4">
              <w:rPr>
                <w:szCs w:val="24"/>
              </w:rPr>
              <w:t>0</w:t>
            </w:r>
          </w:p>
        </w:tc>
        <w:tc>
          <w:tcPr>
            <w:tcW w:w="757" w:type="pct"/>
          </w:tcPr>
          <w:p w:rsidR="00380DA5" w:rsidRPr="005A72B4" w:rsidRDefault="005A72B4" w:rsidP="005A72B4">
            <w:pPr>
              <w:pStyle w:val="naisf"/>
              <w:spacing w:before="0" w:after="0"/>
              <w:rPr>
                <w:szCs w:val="24"/>
              </w:rPr>
            </w:pPr>
            <w:r w:rsidRPr="005A72B4">
              <w:rPr>
                <w:szCs w:val="24"/>
              </w:rPr>
              <w:t>0</w:t>
            </w:r>
          </w:p>
        </w:tc>
      </w:tr>
      <w:tr w:rsidR="00380DA5" w:rsidRPr="00380DA5" w:rsidTr="00D74A1E">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firstRow="1" w:lastRow="1" w:firstColumn="1" w:lastColumn="1" w:noHBand="0" w:noVBand="0"/>
        </w:tblPrEx>
        <w:trPr>
          <w:jc w:val="center"/>
        </w:trPr>
        <w:tc>
          <w:tcPr>
            <w:tcW w:w="1443" w:type="pct"/>
          </w:tcPr>
          <w:p w:rsidR="00380DA5" w:rsidRPr="00380DA5" w:rsidRDefault="00380DA5" w:rsidP="007532BC">
            <w:pPr>
              <w:jc w:val="both"/>
              <w:rPr>
                <w:szCs w:val="24"/>
                <w:lang w:val="lv-LV"/>
              </w:rPr>
            </w:pPr>
            <w:r w:rsidRPr="00380DA5">
              <w:rPr>
                <w:szCs w:val="24"/>
                <w:lang w:val="lv-LV"/>
              </w:rPr>
              <w:t>5.2. speciālais budžets</w:t>
            </w:r>
          </w:p>
        </w:tc>
        <w:tc>
          <w:tcPr>
            <w:tcW w:w="735" w:type="pct"/>
            <w:vMerge/>
            <w:vAlign w:val="center"/>
          </w:tcPr>
          <w:p w:rsidR="00380DA5" w:rsidRPr="005A72B4" w:rsidRDefault="00380DA5" w:rsidP="005A72B4">
            <w:pPr>
              <w:pStyle w:val="naisf"/>
              <w:spacing w:before="0" w:after="0"/>
              <w:rPr>
                <w:szCs w:val="24"/>
              </w:rPr>
            </w:pPr>
          </w:p>
        </w:tc>
        <w:tc>
          <w:tcPr>
            <w:tcW w:w="724" w:type="pct"/>
          </w:tcPr>
          <w:p w:rsidR="00380DA5" w:rsidRPr="005A72B4" w:rsidRDefault="00666F23" w:rsidP="005A72B4">
            <w:pPr>
              <w:pStyle w:val="naisf"/>
              <w:spacing w:before="0" w:after="0"/>
              <w:rPr>
                <w:szCs w:val="24"/>
              </w:rPr>
            </w:pPr>
            <w:r w:rsidRPr="005A72B4">
              <w:rPr>
                <w:szCs w:val="24"/>
              </w:rPr>
              <w:t>0</w:t>
            </w:r>
          </w:p>
        </w:tc>
        <w:tc>
          <w:tcPr>
            <w:tcW w:w="659" w:type="pct"/>
          </w:tcPr>
          <w:p w:rsidR="00380DA5" w:rsidRPr="005A72B4" w:rsidRDefault="00E5551D" w:rsidP="005A72B4">
            <w:pPr>
              <w:pStyle w:val="naisf"/>
              <w:spacing w:before="0" w:after="0"/>
              <w:rPr>
                <w:szCs w:val="24"/>
              </w:rPr>
            </w:pPr>
            <w:r w:rsidRPr="005A72B4">
              <w:rPr>
                <w:szCs w:val="24"/>
              </w:rPr>
              <w:t>0</w:t>
            </w:r>
          </w:p>
        </w:tc>
        <w:tc>
          <w:tcPr>
            <w:tcW w:w="682" w:type="pct"/>
          </w:tcPr>
          <w:p w:rsidR="00380DA5" w:rsidRPr="005A72B4" w:rsidRDefault="005A72B4" w:rsidP="005A72B4">
            <w:pPr>
              <w:pStyle w:val="naisf"/>
              <w:spacing w:before="0" w:after="0"/>
              <w:rPr>
                <w:szCs w:val="24"/>
              </w:rPr>
            </w:pPr>
            <w:r w:rsidRPr="005A72B4">
              <w:rPr>
                <w:szCs w:val="24"/>
              </w:rPr>
              <w:t>0</w:t>
            </w:r>
          </w:p>
        </w:tc>
        <w:tc>
          <w:tcPr>
            <w:tcW w:w="757" w:type="pct"/>
          </w:tcPr>
          <w:p w:rsidR="00380DA5" w:rsidRPr="005A72B4" w:rsidRDefault="005A72B4" w:rsidP="005A72B4">
            <w:pPr>
              <w:pStyle w:val="naisf"/>
              <w:spacing w:before="0" w:after="0"/>
              <w:rPr>
                <w:szCs w:val="24"/>
              </w:rPr>
            </w:pPr>
            <w:r w:rsidRPr="005A72B4">
              <w:rPr>
                <w:szCs w:val="24"/>
              </w:rPr>
              <w:t>0</w:t>
            </w:r>
          </w:p>
        </w:tc>
      </w:tr>
      <w:tr w:rsidR="00380DA5" w:rsidRPr="00380DA5" w:rsidTr="00D74A1E">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firstRow="1" w:lastRow="1" w:firstColumn="1" w:lastColumn="1" w:noHBand="0" w:noVBand="0"/>
        </w:tblPrEx>
        <w:trPr>
          <w:jc w:val="center"/>
        </w:trPr>
        <w:tc>
          <w:tcPr>
            <w:tcW w:w="1443" w:type="pct"/>
          </w:tcPr>
          <w:p w:rsidR="00380DA5" w:rsidRPr="00380DA5" w:rsidRDefault="00380DA5" w:rsidP="007532BC">
            <w:pPr>
              <w:jc w:val="both"/>
              <w:rPr>
                <w:szCs w:val="24"/>
                <w:lang w:val="lv-LV"/>
              </w:rPr>
            </w:pPr>
            <w:r w:rsidRPr="00380DA5">
              <w:rPr>
                <w:szCs w:val="24"/>
                <w:lang w:val="lv-LV"/>
              </w:rPr>
              <w:t xml:space="preserve">5.3. pašvaldību budžets </w:t>
            </w:r>
          </w:p>
        </w:tc>
        <w:tc>
          <w:tcPr>
            <w:tcW w:w="735" w:type="pct"/>
            <w:vMerge/>
            <w:vAlign w:val="center"/>
          </w:tcPr>
          <w:p w:rsidR="00380DA5" w:rsidRPr="005A72B4" w:rsidRDefault="00380DA5" w:rsidP="005A72B4">
            <w:pPr>
              <w:pStyle w:val="naisf"/>
              <w:spacing w:before="0" w:after="0"/>
              <w:rPr>
                <w:szCs w:val="24"/>
              </w:rPr>
            </w:pPr>
          </w:p>
        </w:tc>
        <w:tc>
          <w:tcPr>
            <w:tcW w:w="724" w:type="pct"/>
          </w:tcPr>
          <w:p w:rsidR="00380DA5" w:rsidRPr="005A72B4" w:rsidRDefault="00666F23" w:rsidP="005A72B4">
            <w:pPr>
              <w:pStyle w:val="naisf"/>
              <w:spacing w:before="0" w:after="0"/>
              <w:rPr>
                <w:szCs w:val="24"/>
              </w:rPr>
            </w:pPr>
            <w:r w:rsidRPr="005A72B4">
              <w:rPr>
                <w:szCs w:val="24"/>
              </w:rPr>
              <w:t>0</w:t>
            </w:r>
          </w:p>
        </w:tc>
        <w:tc>
          <w:tcPr>
            <w:tcW w:w="659" w:type="pct"/>
          </w:tcPr>
          <w:p w:rsidR="00380DA5" w:rsidRPr="005A72B4" w:rsidRDefault="00E5551D" w:rsidP="005A72B4">
            <w:pPr>
              <w:pStyle w:val="naisf"/>
              <w:spacing w:before="0" w:after="0"/>
              <w:rPr>
                <w:szCs w:val="24"/>
              </w:rPr>
            </w:pPr>
            <w:r w:rsidRPr="005A72B4">
              <w:rPr>
                <w:szCs w:val="24"/>
              </w:rPr>
              <w:t>0</w:t>
            </w:r>
          </w:p>
        </w:tc>
        <w:tc>
          <w:tcPr>
            <w:tcW w:w="682" w:type="pct"/>
          </w:tcPr>
          <w:p w:rsidR="00380DA5" w:rsidRPr="005A72B4" w:rsidRDefault="005A72B4" w:rsidP="005A72B4">
            <w:pPr>
              <w:pStyle w:val="naisf"/>
              <w:spacing w:before="0" w:after="0"/>
              <w:rPr>
                <w:szCs w:val="24"/>
              </w:rPr>
            </w:pPr>
            <w:r w:rsidRPr="005A72B4">
              <w:rPr>
                <w:szCs w:val="24"/>
              </w:rPr>
              <w:t>0</w:t>
            </w:r>
          </w:p>
        </w:tc>
        <w:tc>
          <w:tcPr>
            <w:tcW w:w="757" w:type="pct"/>
          </w:tcPr>
          <w:p w:rsidR="00380DA5" w:rsidRPr="005A72B4" w:rsidRDefault="005A72B4" w:rsidP="005A72B4">
            <w:pPr>
              <w:pStyle w:val="naisf"/>
              <w:spacing w:before="0" w:after="0"/>
              <w:rPr>
                <w:szCs w:val="24"/>
              </w:rPr>
            </w:pPr>
            <w:r w:rsidRPr="005A72B4">
              <w:rPr>
                <w:szCs w:val="24"/>
              </w:rPr>
              <w:t>0</w:t>
            </w:r>
          </w:p>
        </w:tc>
      </w:tr>
      <w:tr w:rsidR="00380DA5" w:rsidRPr="00380DA5" w:rsidTr="00D74A1E">
        <w:tblPrEx>
          <w:jc w:val="center"/>
          <w:tblCellMar>
            <w:top w:w="0" w:type="dxa"/>
            <w:left w:w="108" w:type="dxa"/>
            <w:bottom w:w="0" w:type="dxa"/>
            <w:right w:w="108" w:type="dxa"/>
          </w:tblCellMar>
          <w:tblLook w:val="01E0" w:firstRow="1" w:lastRow="1" w:firstColumn="1" w:lastColumn="1" w:noHBand="0" w:noVBand="0"/>
        </w:tblPrEx>
        <w:trPr>
          <w:jc w:val="center"/>
        </w:trPr>
        <w:tc>
          <w:tcPr>
            <w:tcW w:w="1443" w:type="pct"/>
          </w:tcPr>
          <w:p w:rsidR="00380DA5" w:rsidRPr="00380DA5" w:rsidRDefault="00380DA5" w:rsidP="007532BC">
            <w:pPr>
              <w:jc w:val="both"/>
              <w:rPr>
                <w:szCs w:val="24"/>
                <w:lang w:val="lv-LV"/>
              </w:rPr>
            </w:pPr>
            <w:r w:rsidRPr="00380DA5">
              <w:rPr>
                <w:szCs w:val="24"/>
                <w:lang w:val="lv-LV"/>
              </w:rPr>
              <w:t>6. Detalizēts ieņēmumu un izdevu</w:t>
            </w:r>
            <w:r w:rsidRPr="00380DA5">
              <w:rPr>
                <w:szCs w:val="24"/>
                <w:lang w:val="lv-LV"/>
              </w:rPr>
              <w:softHyphen/>
              <w:t>mu aprēķins (ja nepieciešams, detalizētu ieņēmumu un izdevumu aprēķinu var pievienot anotācijas pielikumā):</w:t>
            </w:r>
          </w:p>
        </w:tc>
        <w:tc>
          <w:tcPr>
            <w:tcW w:w="3557" w:type="pct"/>
            <w:gridSpan w:val="5"/>
            <w:vMerge w:val="restart"/>
            <w:vAlign w:val="center"/>
          </w:tcPr>
          <w:p w:rsidR="00380DA5" w:rsidRPr="00380DA5" w:rsidRDefault="00F468E0" w:rsidP="00666F23">
            <w:pPr>
              <w:jc w:val="both"/>
              <w:rPr>
                <w:szCs w:val="24"/>
                <w:lang w:val="lv-LV"/>
              </w:rPr>
            </w:pPr>
            <w:r>
              <w:rPr>
                <w:szCs w:val="24"/>
                <w:lang w:val="lv-LV"/>
              </w:rPr>
              <w:t>X</w:t>
            </w:r>
          </w:p>
        </w:tc>
      </w:tr>
      <w:tr w:rsidR="00380DA5" w:rsidRPr="00380DA5" w:rsidTr="00D74A1E">
        <w:tblPrEx>
          <w:jc w:val="center"/>
          <w:tblCellMar>
            <w:top w:w="0" w:type="dxa"/>
            <w:left w:w="108" w:type="dxa"/>
            <w:bottom w:w="0" w:type="dxa"/>
            <w:right w:w="108" w:type="dxa"/>
          </w:tblCellMar>
          <w:tblLook w:val="01E0" w:firstRow="1" w:lastRow="1" w:firstColumn="1" w:lastColumn="1" w:noHBand="0" w:noVBand="0"/>
        </w:tblPrEx>
        <w:trPr>
          <w:trHeight w:val="584"/>
          <w:jc w:val="center"/>
        </w:trPr>
        <w:tc>
          <w:tcPr>
            <w:tcW w:w="1443" w:type="pct"/>
          </w:tcPr>
          <w:p w:rsidR="00380DA5" w:rsidRPr="00380DA5" w:rsidRDefault="00380DA5" w:rsidP="007532BC">
            <w:pPr>
              <w:jc w:val="both"/>
              <w:rPr>
                <w:szCs w:val="24"/>
                <w:lang w:val="lv-LV"/>
              </w:rPr>
            </w:pPr>
            <w:r w:rsidRPr="00380DA5">
              <w:rPr>
                <w:szCs w:val="24"/>
                <w:lang w:val="lv-LV"/>
              </w:rPr>
              <w:t>6.1. detalizēts ieņēmumu aprēķins</w:t>
            </w:r>
          </w:p>
        </w:tc>
        <w:tc>
          <w:tcPr>
            <w:tcW w:w="3557" w:type="pct"/>
            <w:gridSpan w:val="5"/>
            <w:vMerge/>
          </w:tcPr>
          <w:p w:rsidR="00380DA5" w:rsidRPr="00380DA5" w:rsidRDefault="00380DA5" w:rsidP="007532BC">
            <w:pPr>
              <w:pStyle w:val="naisf"/>
              <w:spacing w:before="0" w:after="0"/>
              <w:rPr>
                <w:b/>
                <w:i/>
                <w:szCs w:val="24"/>
              </w:rPr>
            </w:pPr>
          </w:p>
        </w:tc>
      </w:tr>
      <w:tr w:rsidR="00380DA5" w:rsidRPr="00380DA5" w:rsidTr="00D74A1E">
        <w:tblPrEx>
          <w:jc w:val="center"/>
          <w:tblCellMar>
            <w:top w:w="0" w:type="dxa"/>
            <w:left w:w="108" w:type="dxa"/>
            <w:bottom w:w="0" w:type="dxa"/>
            <w:right w:w="108" w:type="dxa"/>
          </w:tblCellMar>
          <w:tblLook w:val="01E0" w:firstRow="1" w:lastRow="1" w:firstColumn="1" w:lastColumn="1" w:noHBand="0" w:noVBand="0"/>
        </w:tblPrEx>
        <w:trPr>
          <w:trHeight w:val="650"/>
          <w:jc w:val="center"/>
        </w:trPr>
        <w:tc>
          <w:tcPr>
            <w:tcW w:w="1443" w:type="pct"/>
          </w:tcPr>
          <w:p w:rsidR="00380DA5" w:rsidRPr="00380DA5" w:rsidRDefault="00380DA5" w:rsidP="007532BC">
            <w:pPr>
              <w:jc w:val="both"/>
              <w:rPr>
                <w:szCs w:val="24"/>
                <w:lang w:val="lv-LV"/>
              </w:rPr>
            </w:pPr>
            <w:r w:rsidRPr="00380DA5">
              <w:rPr>
                <w:szCs w:val="24"/>
                <w:lang w:val="lv-LV"/>
              </w:rPr>
              <w:t>6.2. detalizēts izdevumu aprēķins</w:t>
            </w:r>
          </w:p>
        </w:tc>
        <w:tc>
          <w:tcPr>
            <w:tcW w:w="3557" w:type="pct"/>
            <w:gridSpan w:val="5"/>
            <w:vMerge/>
          </w:tcPr>
          <w:p w:rsidR="00380DA5" w:rsidRPr="00380DA5" w:rsidRDefault="00380DA5" w:rsidP="007532BC">
            <w:pPr>
              <w:pStyle w:val="naisf"/>
              <w:spacing w:before="0" w:after="0"/>
              <w:rPr>
                <w:b/>
                <w:i/>
                <w:szCs w:val="24"/>
              </w:rPr>
            </w:pPr>
          </w:p>
        </w:tc>
      </w:tr>
      <w:tr w:rsidR="00666F23" w:rsidRPr="00C040C4" w:rsidTr="00D74A1E">
        <w:tblPrEx>
          <w:jc w:val="center"/>
          <w:tblCellMar>
            <w:top w:w="0" w:type="dxa"/>
            <w:left w:w="108" w:type="dxa"/>
            <w:bottom w:w="0" w:type="dxa"/>
            <w:right w:w="108" w:type="dxa"/>
          </w:tblCellMar>
          <w:tblLook w:val="01E0" w:firstRow="1" w:lastRow="1" w:firstColumn="1" w:lastColumn="1" w:noHBand="0" w:noVBand="0"/>
        </w:tblPrEx>
        <w:trPr>
          <w:trHeight w:val="2936"/>
          <w:jc w:val="center"/>
        </w:trPr>
        <w:tc>
          <w:tcPr>
            <w:tcW w:w="1443" w:type="pct"/>
          </w:tcPr>
          <w:p w:rsidR="00666F23" w:rsidRPr="00666F23" w:rsidRDefault="00CE67B0" w:rsidP="007532BC">
            <w:pPr>
              <w:jc w:val="both"/>
              <w:rPr>
                <w:lang w:val="lv-LV"/>
              </w:rPr>
            </w:pPr>
            <w:r w:rsidRPr="00380DA5">
              <w:rPr>
                <w:szCs w:val="24"/>
                <w:lang w:val="lv-LV"/>
              </w:rPr>
              <w:t>7. Cita informācija</w:t>
            </w:r>
          </w:p>
        </w:tc>
        <w:tc>
          <w:tcPr>
            <w:tcW w:w="3557" w:type="pct"/>
            <w:gridSpan w:val="5"/>
          </w:tcPr>
          <w:p w:rsidR="00320389" w:rsidRDefault="00320389" w:rsidP="00320389">
            <w:pPr>
              <w:ind w:firstLine="451"/>
              <w:jc w:val="both"/>
              <w:rPr>
                <w:szCs w:val="24"/>
                <w:lang w:val="lv-LV"/>
              </w:rPr>
            </w:pPr>
            <w:r>
              <w:rPr>
                <w:szCs w:val="24"/>
                <w:lang w:val="lv-LV"/>
              </w:rPr>
              <w:t>Ministru kabineta noteikumu projekts paredz</w:t>
            </w:r>
            <w:r w:rsidR="00565A5E" w:rsidRPr="007D1F9D">
              <w:rPr>
                <w:szCs w:val="24"/>
                <w:lang w:val="lv-LV"/>
              </w:rPr>
              <w:t xml:space="preserve"> īstenot vienu iepriekš </w:t>
            </w:r>
            <w:r w:rsidR="007D1F9D" w:rsidRPr="007D1F9D">
              <w:rPr>
                <w:szCs w:val="24"/>
                <w:lang w:val="lv-LV"/>
              </w:rPr>
              <w:t>noteiktu</w:t>
            </w:r>
            <w:r w:rsidR="00565A5E" w:rsidRPr="007D1F9D">
              <w:rPr>
                <w:szCs w:val="24"/>
                <w:lang w:val="lv-LV"/>
              </w:rPr>
              <w:t xml:space="preserve"> projektu „</w:t>
            </w:r>
            <w:r w:rsidR="00597308">
              <w:rPr>
                <w:szCs w:val="24"/>
                <w:lang w:val="lv-LV"/>
              </w:rPr>
              <w:t xml:space="preserve">Zaļo </w:t>
            </w:r>
            <w:r w:rsidR="00565A5E" w:rsidRPr="007D1F9D">
              <w:rPr>
                <w:szCs w:val="24"/>
                <w:lang w:val="lv-LV"/>
              </w:rPr>
              <w:t xml:space="preserve">Tehnoloģiju inkubators”, neliela apjoma grantu shēmu </w:t>
            </w:r>
            <w:r w:rsidRPr="00C071BE">
              <w:rPr>
                <w:szCs w:val="24"/>
                <w:lang w:val="lv-LV"/>
              </w:rPr>
              <w:t xml:space="preserve">un </w:t>
            </w:r>
            <w:r w:rsidR="00D97559" w:rsidRPr="00C071BE">
              <w:rPr>
                <w:szCs w:val="24"/>
                <w:lang w:val="lv-LV"/>
              </w:rPr>
              <w:t>divpusējās sadarbības</w:t>
            </w:r>
            <w:r>
              <w:rPr>
                <w:szCs w:val="24"/>
                <w:lang w:val="lv-LV"/>
              </w:rPr>
              <w:t xml:space="preserve"> fondu, kā arī paredz programmas vadības izmaksas programmas apsaimniekotājam un LIAA.</w:t>
            </w:r>
          </w:p>
          <w:p w:rsidR="004B13AF" w:rsidRDefault="00E52C31" w:rsidP="00B91E7F">
            <w:pPr>
              <w:ind w:firstLine="451"/>
              <w:jc w:val="both"/>
              <w:rPr>
                <w:szCs w:val="24"/>
                <w:lang w:val="lv-LV"/>
              </w:rPr>
            </w:pPr>
            <w:r>
              <w:rPr>
                <w:szCs w:val="24"/>
                <w:lang w:val="lv-LV"/>
              </w:rPr>
              <w:t xml:space="preserve">Kopumā Ekonomikas ministrijas valsts budžeta apakšprogrammā </w:t>
            </w:r>
            <w:r w:rsidRPr="00E52C31">
              <w:rPr>
                <w:szCs w:val="24"/>
                <w:lang w:val="lv-LV"/>
              </w:rPr>
              <w:t>71.06. „Eiropas Ekonomikas zonas finanšu instrumenta un Norvēģijas valdības divpusējā finanšu instrumenta finansētie projekti”</w:t>
            </w:r>
            <w:r>
              <w:rPr>
                <w:szCs w:val="24"/>
                <w:lang w:val="lv-LV"/>
              </w:rPr>
              <w:t xml:space="preserve"> programmas „Inovācijas „zaļās” ražošanas jomā” ieviešanai 2012.gadam ir paredzēti 76 390 lati, 2013.gadam 2 265 007 lati, 2014.gadam 2 873 774 lati</w:t>
            </w:r>
            <w:r w:rsidR="004B13AF">
              <w:rPr>
                <w:szCs w:val="24"/>
                <w:lang w:val="lv-LV"/>
              </w:rPr>
              <w:t>, 2015.gadam 3 034 184 lati.</w:t>
            </w:r>
            <w:r>
              <w:rPr>
                <w:szCs w:val="24"/>
                <w:lang w:val="lv-LV"/>
              </w:rPr>
              <w:t xml:space="preserve"> Turpmākajiem īstenošanas gadiem no </w:t>
            </w:r>
            <w:r w:rsidR="004B13AF">
              <w:rPr>
                <w:szCs w:val="24"/>
                <w:lang w:val="lv-LV"/>
              </w:rPr>
              <w:t>valsts budžeta programmas 80.00.00 „Nesadalītais finansējums Eiropas Savienības politiku instrumentu un pārējās ārvalstu finanšu palīdzības finansēto projektu un pasākumu īstenošanai” ir plānots pieprasīt finansējumu 2016.gadā 565 845 lati un 2017.gadā 3</w:t>
            </w:r>
            <w:r w:rsidR="00D16E9F">
              <w:rPr>
                <w:szCs w:val="24"/>
                <w:lang w:val="lv-LV"/>
              </w:rPr>
              <w:t>0</w:t>
            </w:r>
            <w:r w:rsidR="004B13AF">
              <w:rPr>
                <w:szCs w:val="24"/>
                <w:lang w:val="lv-LV"/>
              </w:rPr>
              <w:t> </w:t>
            </w:r>
            <w:r w:rsidR="00D16E9F">
              <w:rPr>
                <w:szCs w:val="24"/>
                <w:lang w:val="lv-LV"/>
              </w:rPr>
              <w:t>760</w:t>
            </w:r>
            <w:r w:rsidR="004B13AF">
              <w:rPr>
                <w:szCs w:val="24"/>
                <w:lang w:val="lv-LV"/>
              </w:rPr>
              <w:t xml:space="preserve"> </w:t>
            </w:r>
            <w:r w:rsidR="004B13AF">
              <w:rPr>
                <w:szCs w:val="24"/>
                <w:lang w:val="lv-LV"/>
              </w:rPr>
              <w:lastRenderedPageBreak/>
              <w:t>lati.</w:t>
            </w:r>
          </w:p>
          <w:p w:rsidR="00320389" w:rsidRDefault="00320389" w:rsidP="00B91E7F">
            <w:pPr>
              <w:ind w:firstLine="451"/>
              <w:jc w:val="both"/>
              <w:rPr>
                <w:szCs w:val="24"/>
                <w:lang w:val="lv-LV"/>
              </w:rPr>
            </w:pPr>
            <w:r>
              <w:rPr>
                <w:szCs w:val="24"/>
                <w:lang w:val="lv-LV"/>
              </w:rPr>
              <w:t xml:space="preserve">Laika periodam no 2012.gada 20.augusta līdz 2017.gada 30. aprīlim programmas vadības izmaksas programmas apsaimniekotājam un LIAA ir plānotas </w:t>
            </w:r>
            <w:proofErr w:type="spellStart"/>
            <w:r w:rsidRPr="00694E2C">
              <w:rPr>
                <w:i/>
                <w:szCs w:val="24"/>
                <w:lang w:val="lv-LV"/>
              </w:rPr>
              <w:t>euro</w:t>
            </w:r>
            <w:proofErr w:type="spellEnd"/>
            <w:r>
              <w:rPr>
                <w:szCs w:val="24"/>
                <w:lang w:val="lv-LV"/>
              </w:rPr>
              <w:t xml:space="preserve"> 7</w:t>
            </w:r>
            <w:r w:rsidR="00597308">
              <w:rPr>
                <w:szCs w:val="24"/>
                <w:lang w:val="lv-LV"/>
              </w:rPr>
              <w:t>94</w:t>
            </w:r>
            <w:r>
              <w:rPr>
                <w:szCs w:val="24"/>
                <w:lang w:val="lv-LV"/>
              </w:rPr>
              <w:t> </w:t>
            </w:r>
            <w:r w:rsidR="00597308">
              <w:rPr>
                <w:szCs w:val="24"/>
                <w:lang w:val="lv-LV"/>
              </w:rPr>
              <w:t>960</w:t>
            </w:r>
            <w:r>
              <w:rPr>
                <w:szCs w:val="24"/>
                <w:lang w:val="lv-LV"/>
              </w:rPr>
              <w:t xml:space="preserve"> apmērā.</w:t>
            </w:r>
          </w:p>
          <w:p w:rsidR="00565A5E" w:rsidRDefault="00565A5E" w:rsidP="00B91E7F">
            <w:pPr>
              <w:ind w:firstLine="451"/>
              <w:jc w:val="both"/>
              <w:rPr>
                <w:szCs w:val="24"/>
                <w:lang w:val="lv-LV"/>
              </w:rPr>
            </w:pPr>
            <w:r>
              <w:rPr>
                <w:szCs w:val="24"/>
                <w:lang w:val="lv-LV"/>
              </w:rPr>
              <w:t>201</w:t>
            </w:r>
            <w:r w:rsidR="00320389">
              <w:rPr>
                <w:szCs w:val="24"/>
                <w:lang w:val="lv-LV"/>
              </w:rPr>
              <w:t>3</w:t>
            </w:r>
            <w:r>
              <w:rPr>
                <w:szCs w:val="24"/>
                <w:lang w:val="lv-LV"/>
              </w:rPr>
              <w:t xml:space="preserve">.-2016.gadam </w:t>
            </w:r>
            <w:proofErr w:type="spellStart"/>
            <w:r w:rsidR="00320389" w:rsidRPr="00694E2C">
              <w:rPr>
                <w:i/>
                <w:szCs w:val="24"/>
                <w:lang w:val="lv-LV"/>
              </w:rPr>
              <w:t>euro</w:t>
            </w:r>
            <w:proofErr w:type="spellEnd"/>
            <w:r w:rsidR="00320389">
              <w:rPr>
                <w:szCs w:val="24"/>
                <w:lang w:val="lv-LV"/>
              </w:rPr>
              <w:t xml:space="preserve"> </w:t>
            </w:r>
            <w:r w:rsidR="004B6CCD">
              <w:rPr>
                <w:szCs w:val="24"/>
                <w:lang w:val="lv-LV"/>
              </w:rPr>
              <w:t xml:space="preserve">1 463 600 </w:t>
            </w:r>
            <w:r w:rsidR="00320389">
              <w:rPr>
                <w:szCs w:val="24"/>
                <w:lang w:val="lv-LV"/>
              </w:rPr>
              <w:t xml:space="preserve">Zaļo </w:t>
            </w:r>
            <w:r>
              <w:rPr>
                <w:szCs w:val="24"/>
                <w:lang w:val="lv-LV"/>
              </w:rPr>
              <w:t>Tehnoloģiju inkubatora administr</w:t>
            </w:r>
            <w:r w:rsidR="00320389">
              <w:rPr>
                <w:szCs w:val="24"/>
                <w:lang w:val="lv-LV"/>
              </w:rPr>
              <w:t>atīvajām un</w:t>
            </w:r>
            <w:r>
              <w:rPr>
                <w:szCs w:val="24"/>
                <w:lang w:val="lv-LV"/>
              </w:rPr>
              <w:t xml:space="preserve"> vadības komandas izmaks</w:t>
            </w:r>
            <w:r w:rsidR="00320389">
              <w:rPr>
                <w:szCs w:val="24"/>
                <w:lang w:val="lv-LV"/>
              </w:rPr>
              <w:t>ām</w:t>
            </w:r>
            <w:r w:rsidR="004B6CCD">
              <w:rPr>
                <w:szCs w:val="24"/>
                <w:lang w:val="lv-LV"/>
              </w:rPr>
              <w:t xml:space="preserve"> un darbības nodrošināšanai</w:t>
            </w:r>
            <w:r w:rsidR="00320389">
              <w:rPr>
                <w:szCs w:val="24"/>
                <w:lang w:val="lv-LV"/>
              </w:rPr>
              <w:t xml:space="preserve">, </w:t>
            </w:r>
            <w:r w:rsidR="004B6CCD">
              <w:rPr>
                <w:szCs w:val="24"/>
                <w:lang w:val="lv-LV"/>
              </w:rPr>
              <w:t xml:space="preserve">no kurām </w:t>
            </w:r>
            <w:proofErr w:type="spellStart"/>
            <w:r w:rsidR="00320389" w:rsidRPr="00694E2C">
              <w:rPr>
                <w:i/>
                <w:szCs w:val="24"/>
                <w:lang w:val="lv-LV"/>
              </w:rPr>
              <w:t>euro</w:t>
            </w:r>
            <w:proofErr w:type="spellEnd"/>
            <w:r w:rsidR="00320389">
              <w:rPr>
                <w:szCs w:val="24"/>
                <w:lang w:val="lv-LV"/>
              </w:rPr>
              <w:t xml:space="preserve"> 315 000</w:t>
            </w:r>
            <w:r>
              <w:rPr>
                <w:szCs w:val="24"/>
                <w:lang w:val="lv-LV"/>
              </w:rPr>
              <w:t xml:space="preserve"> </w:t>
            </w:r>
            <w:r w:rsidR="00F95943">
              <w:rPr>
                <w:szCs w:val="24"/>
                <w:lang w:val="lv-LV"/>
              </w:rPr>
              <w:t xml:space="preserve">ekvivalents latos </w:t>
            </w:r>
            <w:r>
              <w:rPr>
                <w:szCs w:val="24"/>
                <w:lang w:val="lv-LV"/>
              </w:rPr>
              <w:t xml:space="preserve">ir paredzēti rekonstrukcijas darbu veikšanai un nepieciešamo iekārtu iegādei, lai nodrošinātu pakalpojumus inkubatora </w:t>
            </w:r>
            <w:r w:rsidR="001F7874">
              <w:rPr>
                <w:szCs w:val="24"/>
                <w:lang w:val="lv-LV"/>
              </w:rPr>
              <w:t>komersantiem</w:t>
            </w:r>
            <w:r w:rsidR="00320389">
              <w:rPr>
                <w:szCs w:val="24"/>
                <w:lang w:val="lv-LV"/>
              </w:rPr>
              <w:t>.</w:t>
            </w:r>
          </w:p>
          <w:p w:rsidR="00AE1B78" w:rsidRPr="00597308" w:rsidRDefault="00FF0DB8" w:rsidP="00597308">
            <w:pPr>
              <w:tabs>
                <w:tab w:val="left" w:pos="562"/>
              </w:tabs>
              <w:jc w:val="both"/>
              <w:rPr>
                <w:szCs w:val="24"/>
                <w:lang w:val="lv-LV"/>
              </w:rPr>
            </w:pPr>
            <w:r w:rsidRPr="00C071BE">
              <w:rPr>
                <w:lang w:val="lv-LV"/>
              </w:rPr>
              <w:t>Divpusējās sadarbības</w:t>
            </w:r>
            <w:r>
              <w:rPr>
                <w:lang w:val="lv-LV"/>
              </w:rPr>
              <w:t xml:space="preserve"> </w:t>
            </w:r>
            <w:r w:rsidR="00597308">
              <w:rPr>
                <w:lang w:val="lv-LV"/>
              </w:rPr>
              <w:t>fonda l</w:t>
            </w:r>
            <w:r w:rsidR="00AE1B78" w:rsidRPr="00597308">
              <w:rPr>
                <w:lang w:val="lv-LV"/>
              </w:rPr>
              <w:t xml:space="preserve">īdzekļi divpusējām attiecībām 2012.-2017. gadam </w:t>
            </w:r>
            <w:proofErr w:type="spellStart"/>
            <w:r w:rsidR="00597308" w:rsidRPr="00597308">
              <w:rPr>
                <w:i/>
                <w:lang w:val="lv-LV"/>
              </w:rPr>
              <w:t>euro</w:t>
            </w:r>
            <w:proofErr w:type="spellEnd"/>
            <w:r w:rsidR="00597308">
              <w:rPr>
                <w:lang w:val="lv-LV"/>
              </w:rPr>
              <w:t xml:space="preserve"> </w:t>
            </w:r>
            <w:r w:rsidR="001F6642" w:rsidRPr="00597308">
              <w:rPr>
                <w:lang w:val="lv-LV"/>
              </w:rPr>
              <w:t>294</w:t>
            </w:r>
            <w:r w:rsidR="00F95943">
              <w:rPr>
                <w:lang w:val="lv-LV"/>
              </w:rPr>
              <w:t> </w:t>
            </w:r>
            <w:r w:rsidR="001F6642" w:rsidRPr="00597308">
              <w:rPr>
                <w:lang w:val="lv-LV"/>
              </w:rPr>
              <w:t>000</w:t>
            </w:r>
            <w:r w:rsidR="00AE1B78" w:rsidRPr="00597308">
              <w:rPr>
                <w:lang w:val="lv-LV"/>
              </w:rPr>
              <w:t xml:space="preserve">. </w:t>
            </w:r>
          </w:p>
          <w:p w:rsidR="00666F23" w:rsidRPr="00125AF0" w:rsidRDefault="00666F23" w:rsidP="004B6CCD">
            <w:pPr>
              <w:ind w:firstLine="451"/>
              <w:jc w:val="both"/>
              <w:rPr>
                <w:szCs w:val="24"/>
                <w:lang w:val="lv-LV"/>
              </w:rPr>
            </w:pPr>
          </w:p>
        </w:tc>
      </w:tr>
    </w:tbl>
    <w:p w:rsidR="00380DA5" w:rsidRDefault="00380DA5">
      <w:pPr>
        <w:spacing w:after="60"/>
        <w:rPr>
          <w:szCs w:val="24"/>
          <w:lang w:val="lv-LV"/>
        </w:rPr>
      </w:pPr>
    </w:p>
    <w:tbl>
      <w:tblPr>
        <w:tblW w:w="5036" w:type="pct"/>
        <w:tblCellSpacing w:w="15" w:type="dxa"/>
        <w:tblInd w:w="-6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421"/>
        <w:gridCol w:w="4368"/>
        <w:gridCol w:w="4498"/>
      </w:tblGrid>
      <w:tr w:rsidR="004B111A" w:rsidRPr="00C040C4" w:rsidTr="00A77ACA">
        <w:trPr>
          <w:tblCellSpacing w:w="15" w:type="dxa"/>
        </w:trPr>
        <w:tc>
          <w:tcPr>
            <w:tcW w:w="4968" w:type="pct"/>
            <w:gridSpan w:val="3"/>
            <w:shd w:val="clear" w:color="auto" w:fill="auto"/>
            <w:hideMark/>
          </w:tcPr>
          <w:p w:rsidR="004B111A" w:rsidRPr="00835AEF" w:rsidRDefault="004B111A" w:rsidP="00002692">
            <w:pPr>
              <w:jc w:val="center"/>
              <w:rPr>
                <w:b/>
                <w:bCs/>
                <w:szCs w:val="24"/>
                <w:lang w:val="lv-LV"/>
              </w:rPr>
            </w:pPr>
            <w:r w:rsidRPr="00CE67B0">
              <w:rPr>
                <w:b/>
                <w:bCs/>
                <w:szCs w:val="24"/>
                <w:lang w:val="lv-LV"/>
              </w:rPr>
              <w:t>IV. Kāda var būt normatīvā akta ietekme uz spēkā esošo tiesību normu sistēmu</w:t>
            </w:r>
          </w:p>
        </w:tc>
      </w:tr>
      <w:tr w:rsidR="004B111A" w:rsidRPr="00C040C4" w:rsidTr="00EA5117">
        <w:trPr>
          <w:tblCellSpacing w:w="15" w:type="dxa"/>
        </w:trPr>
        <w:tc>
          <w:tcPr>
            <w:tcW w:w="204" w:type="pct"/>
            <w:shd w:val="clear" w:color="auto" w:fill="auto"/>
            <w:hideMark/>
          </w:tcPr>
          <w:p w:rsidR="004B111A" w:rsidRPr="001F10BC" w:rsidRDefault="004B111A" w:rsidP="00002692">
            <w:pPr>
              <w:rPr>
                <w:szCs w:val="24"/>
              </w:rPr>
            </w:pPr>
            <w:r w:rsidRPr="001F10BC">
              <w:rPr>
                <w:szCs w:val="24"/>
              </w:rPr>
              <w:t>1.</w:t>
            </w:r>
          </w:p>
        </w:tc>
        <w:tc>
          <w:tcPr>
            <w:tcW w:w="2351" w:type="pct"/>
            <w:shd w:val="clear" w:color="auto" w:fill="auto"/>
            <w:hideMark/>
          </w:tcPr>
          <w:p w:rsidR="004B111A" w:rsidRPr="00CE67B0" w:rsidRDefault="004B111A" w:rsidP="00002692">
            <w:pPr>
              <w:spacing w:before="100" w:beforeAutospacing="1" w:after="100" w:afterAutospacing="1"/>
              <w:jc w:val="both"/>
              <w:rPr>
                <w:szCs w:val="24"/>
                <w:lang w:val="lv-LV"/>
              </w:rPr>
            </w:pPr>
            <w:r w:rsidRPr="00CE67B0">
              <w:rPr>
                <w:szCs w:val="24"/>
                <w:lang w:val="lv-LV"/>
              </w:rPr>
              <w:t xml:space="preserve">Kādi normatīvie akti (likumi un Ministru kabineta noteikumi) papildus jāizdod un vai ir sagatavoti to projekti, to būtība, kā arī ministrija, kura ir atbildīga par tā sagatavošanu. Par Ministru kabineta noteikumiem (arī tiem, kuru izdošana ir paredzēta izstrādātajā likumprojektā) - norāda to izdošanas mērķi un galvenos satura punktus, kā arī termiņu, kādā paredzēts šos noteikumus izstrādāt </w:t>
            </w:r>
          </w:p>
        </w:tc>
        <w:tc>
          <w:tcPr>
            <w:tcW w:w="2381" w:type="pct"/>
            <w:shd w:val="clear" w:color="auto" w:fill="auto"/>
            <w:hideMark/>
          </w:tcPr>
          <w:p w:rsidR="004B111A" w:rsidRPr="007D1F9D" w:rsidRDefault="007D1F9D" w:rsidP="00E245B2">
            <w:pPr>
              <w:ind w:firstLine="451"/>
              <w:jc w:val="both"/>
              <w:rPr>
                <w:szCs w:val="24"/>
                <w:lang w:val="lv-LV"/>
              </w:rPr>
            </w:pPr>
            <w:r w:rsidRPr="007D1F9D">
              <w:rPr>
                <w:lang w:val="lv-LV"/>
              </w:rPr>
              <w:t xml:space="preserve">Pēc </w:t>
            </w:r>
            <w:r w:rsidR="00D35A76">
              <w:rPr>
                <w:lang w:val="lv-LV"/>
              </w:rPr>
              <w:t xml:space="preserve">šī Ministru kabineta noteikumu projekta </w:t>
            </w:r>
            <w:r w:rsidRPr="00E52C31">
              <w:rPr>
                <w:lang w:val="lv-LV"/>
              </w:rPr>
              <w:t xml:space="preserve">Ekonomikas ministrija </w:t>
            </w:r>
            <w:r w:rsidR="003B47D9" w:rsidRPr="00E52C31">
              <w:rPr>
                <w:lang w:val="lv-LV"/>
              </w:rPr>
              <w:t>izstrādās</w:t>
            </w:r>
            <w:r w:rsidRPr="00E52C31">
              <w:rPr>
                <w:lang w:val="lv-LV"/>
              </w:rPr>
              <w:t xml:space="preserve"> Ministru kabineta noteikumu projekt</w:t>
            </w:r>
            <w:r w:rsidR="003B47D9" w:rsidRPr="00E52C31">
              <w:rPr>
                <w:lang w:val="lv-LV"/>
              </w:rPr>
              <w:t>u</w:t>
            </w:r>
            <w:r w:rsidRPr="00E52C31">
              <w:rPr>
                <w:lang w:val="lv-LV"/>
              </w:rPr>
              <w:t xml:space="preserve"> par </w:t>
            </w:r>
            <w:r w:rsidR="00D74A1E" w:rsidRPr="00E52C31">
              <w:rPr>
                <w:lang w:val="lv-LV"/>
              </w:rPr>
              <w:t>P</w:t>
            </w:r>
            <w:r w:rsidR="00D74A1E" w:rsidRPr="00E245B2">
              <w:rPr>
                <w:lang w:val="lv-LV"/>
              </w:rPr>
              <w:t xml:space="preserve">rogrammas </w:t>
            </w:r>
            <w:r w:rsidR="00D35A76" w:rsidRPr="00E245B2">
              <w:rPr>
                <w:lang w:val="lv-LV"/>
              </w:rPr>
              <w:t>atklātu projektu konkursa īs</w:t>
            </w:r>
            <w:r w:rsidRPr="00E245B2">
              <w:rPr>
                <w:lang w:val="lv-LV"/>
              </w:rPr>
              <w:t>tenošan</w:t>
            </w:r>
            <w:r w:rsidR="00D35A76" w:rsidRPr="00E245B2">
              <w:rPr>
                <w:lang w:val="lv-LV"/>
              </w:rPr>
              <w:t>u,</w:t>
            </w:r>
            <w:r w:rsidRPr="00E245B2">
              <w:rPr>
                <w:lang w:val="lv-LV"/>
              </w:rPr>
              <w:t xml:space="preserve"> </w:t>
            </w:r>
            <w:r w:rsidR="003B47D9" w:rsidRPr="00E245B2">
              <w:rPr>
                <w:lang w:val="lv-LV"/>
              </w:rPr>
              <w:t>nosak</w:t>
            </w:r>
            <w:r w:rsidR="00866E8A" w:rsidRPr="00E245B2">
              <w:rPr>
                <w:lang w:val="lv-LV"/>
              </w:rPr>
              <w:t>ot</w:t>
            </w:r>
            <w:r w:rsidR="003B47D9" w:rsidRPr="00E245B2">
              <w:rPr>
                <w:lang w:val="lv-LV"/>
              </w:rPr>
              <w:t xml:space="preserve"> </w:t>
            </w:r>
            <w:r w:rsidR="00D35A76" w:rsidRPr="00E245B2">
              <w:rPr>
                <w:lang w:val="lv-LV"/>
              </w:rPr>
              <w:t xml:space="preserve">atklāta projektu konkursa </w:t>
            </w:r>
            <w:r w:rsidR="003B47D9" w:rsidRPr="00E245B2">
              <w:rPr>
                <w:lang w:val="lv-LV"/>
              </w:rPr>
              <w:t>projektu iesniegumu vērtēšanas kritērijus un prasības projekta iesnieguma iesniedzējam</w:t>
            </w:r>
            <w:r w:rsidRPr="00E245B2">
              <w:rPr>
                <w:lang w:val="lv-LV"/>
              </w:rPr>
              <w:t>.</w:t>
            </w:r>
          </w:p>
        </w:tc>
      </w:tr>
      <w:tr w:rsidR="004B111A" w:rsidRPr="001F10BC" w:rsidTr="00EA5117">
        <w:trPr>
          <w:tblCellSpacing w:w="15" w:type="dxa"/>
        </w:trPr>
        <w:tc>
          <w:tcPr>
            <w:tcW w:w="204" w:type="pct"/>
            <w:shd w:val="clear" w:color="auto" w:fill="auto"/>
            <w:hideMark/>
          </w:tcPr>
          <w:p w:rsidR="004B111A" w:rsidRPr="001F10BC" w:rsidRDefault="004B111A" w:rsidP="00002692">
            <w:pPr>
              <w:rPr>
                <w:szCs w:val="24"/>
              </w:rPr>
            </w:pPr>
            <w:r w:rsidRPr="001F10BC">
              <w:rPr>
                <w:szCs w:val="24"/>
              </w:rPr>
              <w:t>2.</w:t>
            </w:r>
          </w:p>
        </w:tc>
        <w:tc>
          <w:tcPr>
            <w:tcW w:w="2351" w:type="pct"/>
            <w:shd w:val="clear" w:color="auto" w:fill="auto"/>
            <w:hideMark/>
          </w:tcPr>
          <w:p w:rsidR="004B111A" w:rsidRPr="001F10BC" w:rsidRDefault="004B111A" w:rsidP="00002692">
            <w:pPr>
              <w:jc w:val="both"/>
              <w:rPr>
                <w:szCs w:val="24"/>
              </w:rPr>
            </w:pPr>
            <w:r w:rsidRPr="00CE67B0">
              <w:rPr>
                <w:szCs w:val="24"/>
                <w:lang w:val="lv-LV"/>
              </w:rPr>
              <w:t>Cita informācija</w:t>
            </w:r>
          </w:p>
        </w:tc>
        <w:tc>
          <w:tcPr>
            <w:tcW w:w="2381" w:type="pct"/>
            <w:shd w:val="clear" w:color="auto" w:fill="auto"/>
            <w:hideMark/>
          </w:tcPr>
          <w:p w:rsidR="004B111A" w:rsidRPr="001F10BC" w:rsidRDefault="004B111A" w:rsidP="00002692">
            <w:pPr>
              <w:ind w:firstLine="341"/>
              <w:jc w:val="both"/>
              <w:rPr>
                <w:szCs w:val="24"/>
              </w:rPr>
            </w:pPr>
            <w:r>
              <w:rPr>
                <w:szCs w:val="24"/>
              </w:rPr>
              <w:t>Nav.</w:t>
            </w:r>
          </w:p>
        </w:tc>
      </w:tr>
    </w:tbl>
    <w:p w:rsidR="004B111A" w:rsidRDefault="004B111A">
      <w:pPr>
        <w:spacing w:after="60"/>
        <w:rPr>
          <w:szCs w:val="24"/>
          <w:lang w:val="lv-LV"/>
        </w:rPr>
      </w:pPr>
    </w:p>
    <w:p w:rsidR="004B111A" w:rsidRDefault="004B111A">
      <w:pPr>
        <w:spacing w:after="60"/>
        <w:rPr>
          <w:szCs w:val="24"/>
          <w:lang w:val="lv-LV"/>
        </w:rPr>
      </w:pPr>
    </w:p>
    <w:tbl>
      <w:tblPr>
        <w:tblW w:w="5036" w:type="pct"/>
        <w:tblCellSpacing w:w="15" w:type="dxa"/>
        <w:tblInd w:w="-6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509"/>
        <w:gridCol w:w="1757"/>
        <w:gridCol w:w="7021"/>
      </w:tblGrid>
      <w:tr w:rsidR="00340C6E" w:rsidRPr="001F10BC" w:rsidTr="00340C6E">
        <w:trPr>
          <w:tblCellSpacing w:w="15" w:type="dxa"/>
        </w:trPr>
        <w:tc>
          <w:tcPr>
            <w:tcW w:w="4968" w:type="pct"/>
            <w:gridSpan w:val="3"/>
            <w:shd w:val="clear" w:color="auto" w:fill="auto"/>
            <w:hideMark/>
          </w:tcPr>
          <w:p w:rsidR="00340C6E" w:rsidRPr="00340C6E" w:rsidRDefault="00340C6E" w:rsidP="0087512B">
            <w:pPr>
              <w:jc w:val="center"/>
              <w:rPr>
                <w:b/>
                <w:bCs/>
                <w:szCs w:val="24"/>
                <w:lang w:val="lv-LV"/>
              </w:rPr>
            </w:pPr>
            <w:r w:rsidRPr="00340C6E">
              <w:rPr>
                <w:b/>
                <w:bCs/>
                <w:szCs w:val="24"/>
                <w:lang w:val="lv-LV"/>
              </w:rPr>
              <w:t>V. Tiesību akta projekta atbilstība Latvijas Republikas starptautiskajām saistībām</w:t>
            </w:r>
          </w:p>
        </w:tc>
      </w:tr>
      <w:tr w:rsidR="00340C6E" w:rsidRPr="00C040C4" w:rsidTr="004B111A">
        <w:trPr>
          <w:tblCellSpacing w:w="15" w:type="dxa"/>
        </w:trPr>
        <w:tc>
          <w:tcPr>
            <w:tcW w:w="251" w:type="pct"/>
            <w:shd w:val="clear" w:color="auto" w:fill="auto"/>
            <w:hideMark/>
          </w:tcPr>
          <w:p w:rsidR="00340C6E" w:rsidRPr="00340C6E" w:rsidRDefault="00340C6E" w:rsidP="0087512B">
            <w:pPr>
              <w:rPr>
                <w:szCs w:val="24"/>
                <w:lang w:val="lv-LV"/>
              </w:rPr>
            </w:pPr>
            <w:r w:rsidRPr="00340C6E">
              <w:rPr>
                <w:szCs w:val="24"/>
                <w:lang w:val="lv-LV"/>
              </w:rPr>
              <w:t>1.</w:t>
            </w:r>
          </w:p>
        </w:tc>
        <w:tc>
          <w:tcPr>
            <w:tcW w:w="936" w:type="pct"/>
            <w:shd w:val="clear" w:color="auto" w:fill="auto"/>
            <w:hideMark/>
          </w:tcPr>
          <w:p w:rsidR="00340C6E" w:rsidRPr="00340C6E" w:rsidRDefault="00340C6E" w:rsidP="0087512B">
            <w:pPr>
              <w:jc w:val="both"/>
              <w:rPr>
                <w:szCs w:val="24"/>
                <w:lang w:val="lv-LV"/>
              </w:rPr>
            </w:pPr>
            <w:r w:rsidRPr="00340C6E">
              <w:rPr>
                <w:szCs w:val="24"/>
                <w:lang w:val="lv-LV"/>
              </w:rPr>
              <w:t>Saistības pret Eiropas Savienību</w:t>
            </w:r>
          </w:p>
        </w:tc>
        <w:tc>
          <w:tcPr>
            <w:tcW w:w="3749" w:type="pct"/>
            <w:shd w:val="clear" w:color="auto" w:fill="auto"/>
            <w:hideMark/>
          </w:tcPr>
          <w:p w:rsidR="00340C6E" w:rsidRPr="00C071BE" w:rsidRDefault="00340C6E" w:rsidP="00340C6E">
            <w:pPr>
              <w:jc w:val="both"/>
              <w:rPr>
                <w:szCs w:val="24"/>
                <w:lang w:val="lv-LV"/>
              </w:rPr>
            </w:pPr>
            <w:r w:rsidRPr="00C071BE">
              <w:rPr>
                <w:szCs w:val="24"/>
                <w:lang w:val="lv-LV"/>
              </w:rPr>
              <w:t>Tiesību akta projekts nodrošina šādu Eiropas Savienības tiesību akta prasību ievērošanu:</w:t>
            </w:r>
          </w:p>
          <w:p w:rsidR="00340C6E" w:rsidRPr="00C071BE" w:rsidRDefault="00340C6E" w:rsidP="00632F16">
            <w:pPr>
              <w:pStyle w:val="ListParagraph"/>
              <w:numPr>
                <w:ilvl w:val="1"/>
                <w:numId w:val="3"/>
              </w:numPr>
              <w:tabs>
                <w:tab w:val="left" w:pos="835"/>
              </w:tabs>
              <w:jc w:val="both"/>
              <w:rPr>
                <w:szCs w:val="24"/>
                <w:lang w:val="lv-LV"/>
              </w:rPr>
            </w:pPr>
            <w:r w:rsidRPr="00C071BE">
              <w:rPr>
                <w:szCs w:val="24"/>
                <w:lang w:val="lv-LV"/>
              </w:rPr>
              <w:t>Komisijas 2008.gada 6.augusta Regula (EK) Nr.800/2008, kas atzīst noteiktas atbalsta kategorijas par saderīgām ar kopējo tirgu, piemērojot Līguma 87. un 88.pantu (vispārējā grupu atbrīvojuma regula)</w:t>
            </w:r>
            <w:r w:rsidR="00DB2F24" w:rsidRPr="00C071BE">
              <w:rPr>
                <w:szCs w:val="24"/>
                <w:lang w:val="lv-LV"/>
              </w:rPr>
              <w:t xml:space="preserve"> (turpmāk – Komisijas Regula </w:t>
            </w:r>
            <w:proofErr w:type="spellStart"/>
            <w:r w:rsidR="00DB2F24" w:rsidRPr="00C071BE">
              <w:rPr>
                <w:szCs w:val="24"/>
                <w:lang w:val="lv-LV"/>
              </w:rPr>
              <w:t>Nr</w:t>
            </w:r>
            <w:proofErr w:type="spellEnd"/>
            <w:r w:rsidR="00DB2F24" w:rsidRPr="00C071BE">
              <w:rPr>
                <w:szCs w:val="24"/>
                <w:lang w:val="lv-LV"/>
              </w:rPr>
              <w:t>.</w:t>
            </w:r>
            <w:r w:rsidR="007F3E96" w:rsidRPr="00C071BE">
              <w:rPr>
                <w:szCs w:val="24"/>
                <w:lang w:val="lv-LV"/>
              </w:rPr>
              <w:t xml:space="preserve"> 800/2008)</w:t>
            </w:r>
            <w:r w:rsidRPr="00C071BE">
              <w:rPr>
                <w:szCs w:val="24"/>
                <w:lang w:val="lv-LV"/>
              </w:rPr>
              <w:t>;</w:t>
            </w:r>
          </w:p>
          <w:p w:rsidR="00340C6E" w:rsidRPr="00C071BE" w:rsidRDefault="00340C6E" w:rsidP="00632F16">
            <w:pPr>
              <w:pStyle w:val="ListParagraph"/>
              <w:numPr>
                <w:ilvl w:val="1"/>
                <w:numId w:val="3"/>
              </w:numPr>
              <w:tabs>
                <w:tab w:val="left" w:pos="835"/>
              </w:tabs>
              <w:jc w:val="both"/>
            </w:pPr>
            <w:proofErr w:type="spellStart"/>
            <w:r w:rsidRPr="00C071BE">
              <w:rPr>
                <w:bCs/>
                <w:szCs w:val="24"/>
              </w:rPr>
              <w:t>Komisi</w:t>
            </w:r>
            <w:r w:rsidR="00DB2F24" w:rsidRPr="00C071BE">
              <w:rPr>
                <w:bCs/>
                <w:szCs w:val="24"/>
              </w:rPr>
              <w:t>jas</w:t>
            </w:r>
            <w:proofErr w:type="spellEnd"/>
            <w:r w:rsidR="00DB2F24" w:rsidRPr="00C071BE">
              <w:rPr>
                <w:bCs/>
                <w:szCs w:val="24"/>
              </w:rPr>
              <w:t xml:space="preserve"> </w:t>
            </w:r>
            <w:proofErr w:type="spellStart"/>
            <w:r w:rsidR="00DB2F24" w:rsidRPr="00C071BE">
              <w:rPr>
                <w:bCs/>
                <w:szCs w:val="24"/>
              </w:rPr>
              <w:t>Regula</w:t>
            </w:r>
            <w:proofErr w:type="spellEnd"/>
            <w:r w:rsidR="00DB2F24" w:rsidRPr="00C071BE">
              <w:rPr>
                <w:bCs/>
                <w:szCs w:val="24"/>
              </w:rPr>
              <w:t xml:space="preserve"> (EK) Nr. 1998/2006 (2006. </w:t>
            </w:r>
            <w:proofErr w:type="spellStart"/>
            <w:r w:rsidR="00DB2F24" w:rsidRPr="00C071BE">
              <w:rPr>
                <w:bCs/>
                <w:szCs w:val="24"/>
              </w:rPr>
              <w:t>gada</w:t>
            </w:r>
            <w:proofErr w:type="spellEnd"/>
            <w:r w:rsidR="00DB2F24" w:rsidRPr="00C071BE">
              <w:rPr>
                <w:bCs/>
                <w:szCs w:val="24"/>
              </w:rPr>
              <w:t xml:space="preserve"> 15. </w:t>
            </w:r>
            <w:proofErr w:type="spellStart"/>
            <w:r w:rsidR="00DB2F24" w:rsidRPr="00C071BE">
              <w:rPr>
                <w:bCs/>
                <w:szCs w:val="24"/>
              </w:rPr>
              <w:t>decembris</w:t>
            </w:r>
            <w:proofErr w:type="spellEnd"/>
            <w:r w:rsidRPr="00C071BE">
              <w:rPr>
                <w:bCs/>
                <w:szCs w:val="24"/>
              </w:rPr>
              <w:t xml:space="preserve">) par </w:t>
            </w:r>
            <w:proofErr w:type="spellStart"/>
            <w:r w:rsidRPr="00C071BE">
              <w:rPr>
                <w:bCs/>
                <w:szCs w:val="24"/>
              </w:rPr>
              <w:t>Līguma</w:t>
            </w:r>
            <w:proofErr w:type="spellEnd"/>
            <w:r w:rsidRPr="00C071BE">
              <w:rPr>
                <w:bCs/>
                <w:szCs w:val="24"/>
              </w:rPr>
              <w:t xml:space="preserve"> 87. </w:t>
            </w:r>
            <w:proofErr w:type="gramStart"/>
            <w:r w:rsidRPr="00C071BE">
              <w:rPr>
                <w:bCs/>
                <w:szCs w:val="24"/>
              </w:rPr>
              <w:t>un</w:t>
            </w:r>
            <w:proofErr w:type="gramEnd"/>
            <w:r w:rsidRPr="00C071BE">
              <w:rPr>
                <w:bCs/>
                <w:szCs w:val="24"/>
              </w:rPr>
              <w:t xml:space="preserve"> 88. </w:t>
            </w:r>
            <w:proofErr w:type="spellStart"/>
            <w:proofErr w:type="gramStart"/>
            <w:r w:rsidRPr="00C071BE">
              <w:rPr>
                <w:bCs/>
                <w:szCs w:val="24"/>
              </w:rPr>
              <w:t>panta</w:t>
            </w:r>
            <w:proofErr w:type="spellEnd"/>
            <w:proofErr w:type="gramEnd"/>
            <w:r w:rsidRPr="00C071BE">
              <w:rPr>
                <w:bCs/>
                <w:szCs w:val="24"/>
              </w:rPr>
              <w:t xml:space="preserve"> </w:t>
            </w:r>
            <w:proofErr w:type="spellStart"/>
            <w:r w:rsidRPr="00C071BE">
              <w:rPr>
                <w:bCs/>
                <w:szCs w:val="24"/>
              </w:rPr>
              <w:t>piemērošanu</w:t>
            </w:r>
            <w:proofErr w:type="spellEnd"/>
            <w:r w:rsidRPr="00C071BE">
              <w:rPr>
                <w:bCs/>
                <w:szCs w:val="24"/>
              </w:rPr>
              <w:t xml:space="preserve"> </w:t>
            </w:r>
            <w:r w:rsidRPr="00C071BE">
              <w:rPr>
                <w:bCs/>
                <w:i/>
                <w:szCs w:val="24"/>
              </w:rPr>
              <w:t xml:space="preserve">de </w:t>
            </w:r>
            <w:proofErr w:type="spellStart"/>
            <w:r w:rsidRPr="00C071BE">
              <w:rPr>
                <w:bCs/>
                <w:i/>
                <w:szCs w:val="24"/>
              </w:rPr>
              <w:t>minimis</w:t>
            </w:r>
            <w:proofErr w:type="spellEnd"/>
            <w:r w:rsidRPr="00C071BE">
              <w:rPr>
                <w:bCs/>
                <w:szCs w:val="24"/>
              </w:rPr>
              <w:t xml:space="preserve"> </w:t>
            </w:r>
            <w:proofErr w:type="spellStart"/>
            <w:r w:rsidRPr="00C071BE">
              <w:rPr>
                <w:bCs/>
                <w:szCs w:val="24"/>
              </w:rPr>
              <w:t>atbalstam</w:t>
            </w:r>
            <w:proofErr w:type="spellEnd"/>
            <w:r w:rsidR="00DB2F24" w:rsidRPr="00C071BE">
              <w:rPr>
                <w:bCs/>
                <w:szCs w:val="24"/>
              </w:rPr>
              <w:t xml:space="preserve"> (</w:t>
            </w:r>
            <w:proofErr w:type="spellStart"/>
            <w:r w:rsidR="00DB2F24" w:rsidRPr="00C071BE">
              <w:rPr>
                <w:bCs/>
                <w:szCs w:val="24"/>
              </w:rPr>
              <w:t>turpmāk</w:t>
            </w:r>
            <w:proofErr w:type="spellEnd"/>
            <w:r w:rsidR="00DB2F24" w:rsidRPr="00C071BE">
              <w:rPr>
                <w:bCs/>
                <w:szCs w:val="24"/>
              </w:rPr>
              <w:t xml:space="preserve"> – </w:t>
            </w:r>
            <w:proofErr w:type="spellStart"/>
            <w:r w:rsidR="00DB2F24" w:rsidRPr="00C071BE">
              <w:rPr>
                <w:bCs/>
                <w:szCs w:val="24"/>
              </w:rPr>
              <w:t>Komisijas</w:t>
            </w:r>
            <w:proofErr w:type="spellEnd"/>
            <w:r w:rsidR="00DB2F24" w:rsidRPr="00C071BE">
              <w:rPr>
                <w:bCs/>
                <w:szCs w:val="24"/>
              </w:rPr>
              <w:t xml:space="preserve"> </w:t>
            </w:r>
            <w:proofErr w:type="spellStart"/>
            <w:r w:rsidR="00DB2F24" w:rsidRPr="00C071BE">
              <w:rPr>
                <w:bCs/>
                <w:szCs w:val="24"/>
              </w:rPr>
              <w:t>Regula</w:t>
            </w:r>
            <w:proofErr w:type="spellEnd"/>
            <w:r w:rsidR="00DB2F24" w:rsidRPr="00C071BE">
              <w:rPr>
                <w:bCs/>
                <w:szCs w:val="24"/>
              </w:rPr>
              <w:t xml:space="preserve"> Nr.1998/2006)</w:t>
            </w:r>
            <w:r w:rsidR="00BD0B0A" w:rsidRPr="00C071BE">
              <w:rPr>
                <w:bCs/>
                <w:szCs w:val="24"/>
              </w:rPr>
              <w:t>.</w:t>
            </w:r>
          </w:p>
          <w:p w:rsidR="0085498B" w:rsidRPr="00C071BE" w:rsidRDefault="006850F3" w:rsidP="005E4320">
            <w:pPr>
              <w:ind w:left="34"/>
              <w:jc w:val="both"/>
              <w:rPr>
                <w:szCs w:val="24"/>
                <w:lang w:val="lv-LV"/>
              </w:rPr>
            </w:pPr>
            <w:r w:rsidRPr="00C071BE">
              <w:rPr>
                <w:rStyle w:val="Strong"/>
                <w:b w:val="0"/>
                <w:bCs w:val="0"/>
                <w:szCs w:val="24"/>
                <w:lang w:val="lv-LV"/>
              </w:rPr>
              <w:t xml:space="preserve">Komisijas Regula (EK) </w:t>
            </w:r>
            <w:proofErr w:type="spellStart"/>
            <w:r w:rsidRPr="00C071BE">
              <w:rPr>
                <w:rStyle w:val="Strong"/>
                <w:b w:val="0"/>
                <w:bCs w:val="0"/>
                <w:szCs w:val="24"/>
                <w:lang w:val="lv-LV"/>
              </w:rPr>
              <w:t>Nr</w:t>
            </w:r>
            <w:proofErr w:type="spellEnd"/>
            <w:r w:rsidRPr="00C071BE">
              <w:rPr>
                <w:rStyle w:val="Strong"/>
                <w:b w:val="0"/>
                <w:bCs w:val="0"/>
                <w:szCs w:val="24"/>
                <w:lang w:val="lv-LV"/>
              </w:rPr>
              <w:t>. 1998/2006 (2006. gada 15. decembris)</w:t>
            </w:r>
            <w:r w:rsidR="00FF0DB8" w:rsidRPr="00C071BE">
              <w:rPr>
                <w:rStyle w:val="Strong"/>
                <w:b w:val="0"/>
                <w:bCs w:val="0"/>
                <w:szCs w:val="24"/>
                <w:lang w:val="lv-LV"/>
              </w:rPr>
              <w:t>,</w:t>
            </w:r>
            <w:r w:rsidR="00892D58" w:rsidRPr="00C071BE">
              <w:rPr>
                <w:lang w:val="lv-LV"/>
              </w:rPr>
              <w:t xml:space="preserve"> </w:t>
            </w:r>
            <w:r w:rsidRPr="00C071BE">
              <w:rPr>
                <w:rStyle w:val="Strong"/>
                <w:b w:val="0"/>
                <w:bCs w:val="0"/>
                <w:szCs w:val="24"/>
                <w:lang w:val="lv-LV"/>
              </w:rPr>
              <w:t>saskaņā ar kuru tiek sniegts atbalsts  noteikumu projektā paredzētajām aktivitātēm, būs spēkā līdz 2013.gada 31.decembrim. Sākot ar 2014.gada 1.janvāri</w:t>
            </w:r>
            <w:r w:rsidR="00E241CB" w:rsidRPr="00C071BE">
              <w:rPr>
                <w:rStyle w:val="Strong"/>
                <w:b w:val="0"/>
                <w:bCs w:val="0"/>
                <w:szCs w:val="24"/>
                <w:lang w:val="lv-LV"/>
              </w:rPr>
              <w:t>,</w:t>
            </w:r>
            <w:r w:rsidRPr="00C071BE">
              <w:rPr>
                <w:rStyle w:val="Strong"/>
                <w:b w:val="0"/>
                <w:bCs w:val="0"/>
                <w:szCs w:val="24"/>
                <w:lang w:val="lv-LV"/>
              </w:rPr>
              <w:t xml:space="preserve"> </w:t>
            </w:r>
            <w:r w:rsidR="00FF0DB8" w:rsidRPr="00C071BE">
              <w:rPr>
                <w:rStyle w:val="Strong"/>
                <w:b w:val="0"/>
                <w:bCs w:val="0"/>
                <w:szCs w:val="24"/>
                <w:lang w:val="lv-LV"/>
              </w:rPr>
              <w:t>P</w:t>
            </w:r>
            <w:r w:rsidRPr="00C071BE">
              <w:rPr>
                <w:rStyle w:val="Strong"/>
                <w:b w:val="0"/>
                <w:bCs w:val="0"/>
                <w:szCs w:val="24"/>
                <w:lang w:val="lv-LV"/>
              </w:rPr>
              <w:t xml:space="preserve">rogrammas atbalsta pasākumu ieviešanā būs jāievēro </w:t>
            </w:r>
            <w:r w:rsidR="00892D58" w:rsidRPr="00C071BE">
              <w:rPr>
                <w:rStyle w:val="Strong"/>
                <w:b w:val="0"/>
                <w:bCs w:val="0"/>
                <w:szCs w:val="24"/>
                <w:lang w:val="lv-LV"/>
              </w:rPr>
              <w:t xml:space="preserve">jaunais Eiropas Savienības regulējums, kas tiks piemērots </w:t>
            </w:r>
            <w:proofErr w:type="spellStart"/>
            <w:r w:rsidR="00892D58" w:rsidRPr="00C071BE">
              <w:rPr>
                <w:rStyle w:val="Strong"/>
                <w:b w:val="0"/>
                <w:bCs w:val="0"/>
                <w:i/>
                <w:szCs w:val="24"/>
                <w:lang w:val="lv-LV"/>
              </w:rPr>
              <w:t>de</w:t>
            </w:r>
            <w:proofErr w:type="spellEnd"/>
            <w:r w:rsidR="00892D58" w:rsidRPr="00C071BE">
              <w:rPr>
                <w:rStyle w:val="Strong"/>
                <w:b w:val="0"/>
                <w:bCs w:val="0"/>
                <w:i/>
                <w:szCs w:val="24"/>
                <w:lang w:val="lv-LV"/>
              </w:rPr>
              <w:t xml:space="preserve"> </w:t>
            </w:r>
            <w:proofErr w:type="spellStart"/>
            <w:r w:rsidR="00892D58" w:rsidRPr="00C071BE">
              <w:rPr>
                <w:rStyle w:val="Strong"/>
                <w:b w:val="0"/>
                <w:bCs w:val="0"/>
                <w:i/>
                <w:szCs w:val="24"/>
                <w:lang w:val="lv-LV"/>
              </w:rPr>
              <w:t>minimis</w:t>
            </w:r>
            <w:proofErr w:type="spellEnd"/>
            <w:r w:rsidR="00892D58" w:rsidRPr="00C071BE">
              <w:rPr>
                <w:rStyle w:val="Strong"/>
                <w:b w:val="0"/>
                <w:bCs w:val="0"/>
                <w:szCs w:val="24"/>
                <w:lang w:val="lv-LV"/>
              </w:rPr>
              <w:t xml:space="preserve"> atbalstam.</w:t>
            </w:r>
          </w:p>
        </w:tc>
      </w:tr>
      <w:tr w:rsidR="00340C6E" w:rsidRPr="00C040C4" w:rsidTr="004B111A">
        <w:trPr>
          <w:tblCellSpacing w:w="15" w:type="dxa"/>
        </w:trPr>
        <w:tc>
          <w:tcPr>
            <w:tcW w:w="251" w:type="pct"/>
            <w:shd w:val="clear" w:color="auto" w:fill="auto"/>
            <w:hideMark/>
          </w:tcPr>
          <w:p w:rsidR="00340C6E" w:rsidRPr="00340C6E" w:rsidRDefault="00340C6E" w:rsidP="0087512B">
            <w:pPr>
              <w:rPr>
                <w:szCs w:val="24"/>
                <w:lang w:val="lv-LV"/>
              </w:rPr>
            </w:pPr>
            <w:r w:rsidRPr="00340C6E">
              <w:rPr>
                <w:szCs w:val="24"/>
                <w:lang w:val="lv-LV"/>
              </w:rPr>
              <w:t>2.</w:t>
            </w:r>
          </w:p>
        </w:tc>
        <w:tc>
          <w:tcPr>
            <w:tcW w:w="936" w:type="pct"/>
            <w:shd w:val="clear" w:color="auto" w:fill="auto"/>
            <w:hideMark/>
          </w:tcPr>
          <w:p w:rsidR="00340C6E" w:rsidRPr="00340C6E" w:rsidRDefault="00340C6E" w:rsidP="0087512B">
            <w:pPr>
              <w:jc w:val="both"/>
              <w:rPr>
                <w:szCs w:val="24"/>
                <w:lang w:val="lv-LV"/>
              </w:rPr>
            </w:pPr>
            <w:r w:rsidRPr="00340C6E">
              <w:rPr>
                <w:szCs w:val="24"/>
                <w:lang w:val="lv-LV"/>
              </w:rPr>
              <w:t xml:space="preserve">Citas </w:t>
            </w:r>
            <w:r w:rsidRPr="00340C6E">
              <w:rPr>
                <w:szCs w:val="24"/>
                <w:lang w:val="lv-LV"/>
              </w:rPr>
              <w:lastRenderedPageBreak/>
              <w:t>starptautiskās saistības</w:t>
            </w:r>
          </w:p>
        </w:tc>
        <w:tc>
          <w:tcPr>
            <w:tcW w:w="3749" w:type="pct"/>
            <w:shd w:val="clear" w:color="auto" w:fill="auto"/>
            <w:hideMark/>
          </w:tcPr>
          <w:p w:rsidR="00340C6E" w:rsidRPr="00C071BE" w:rsidRDefault="00E42EB2" w:rsidP="0087512B">
            <w:pPr>
              <w:ind w:firstLine="341"/>
              <w:jc w:val="both"/>
              <w:rPr>
                <w:szCs w:val="24"/>
                <w:lang w:val="lv-LV"/>
              </w:rPr>
            </w:pPr>
            <w:r w:rsidRPr="00C071BE">
              <w:rPr>
                <w:iCs/>
                <w:lang w:val="lv-LV"/>
              </w:rPr>
              <w:lastRenderedPageBreak/>
              <w:t xml:space="preserve">Tiesību akta projekts nodrošina Latvijas Republikas un Norvēģijas </w:t>
            </w:r>
            <w:r w:rsidRPr="00C071BE">
              <w:rPr>
                <w:iCs/>
                <w:lang w:val="lv-LV"/>
              </w:rPr>
              <w:lastRenderedPageBreak/>
              <w:t>Karalistes saprašanās memoranda par Norvēģijas finanšu instrumenta ieviešanu 2009. – 2014.gadā (apstiprināts ar Ministru kabineta 2011.gada 29.marta noteikumiem Nr.252) īstenošanu.</w:t>
            </w:r>
          </w:p>
        </w:tc>
      </w:tr>
      <w:tr w:rsidR="00340C6E" w:rsidRPr="00C040C4" w:rsidTr="000B5824">
        <w:trPr>
          <w:trHeight w:val="959"/>
          <w:tblCellSpacing w:w="15" w:type="dxa"/>
        </w:trPr>
        <w:tc>
          <w:tcPr>
            <w:tcW w:w="251" w:type="pct"/>
            <w:shd w:val="clear" w:color="auto" w:fill="auto"/>
            <w:hideMark/>
          </w:tcPr>
          <w:p w:rsidR="00340C6E" w:rsidRPr="00340C6E" w:rsidRDefault="00340C6E" w:rsidP="0087512B">
            <w:pPr>
              <w:rPr>
                <w:szCs w:val="24"/>
                <w:lang w:val="lv-LV"/>
              </w:rPr>
            </w:pPr>
            <w:r w:rsidRPr="00340C6E">
              <w:rPr>
                <w:szCs w:val="24"/>
                <w:lang w:val="lv-LV"/>
              </w:rPr>
              <w:lastRenderedPageBreak/>
              <w:t>3.</w:t>
            </w:r>
          </w:p>
        </w:tc>
        <w:tc>
          <w:tcPr>
            <w:tcW w:w="936" w:type="pct"/>
            <w:shd w:val="clear" w:color="auto" w:fill="auto"/>
            <w:hideMark/>
          </w:tcPr>
          <w:p w:rsidR="00340C6E" w:rsidRPr="00340C6E" w:rsidRDefault="00340C6E" w:rsidP="0087512B">
            <w:pPr>
              <w:jc w:val="both"/>
              <w:rPr>
                <w:szCs w:val="24"/>
                <w:lang w:val="lv-LV"/>
              </w:rPr>
            </w:pPr>
            <w:r w:rsidRPr="00340C6E">
              <w:rPr>
                <w:szCs w:val="24"/>
                <w:lang w:val="lv-LV"/>
              </w:rPr>
              <w:t>Cita informācija</w:t>
            </w:r>
          </w:p>
        </w:tc>
        <w:tc>
          <w:tcPr>
            <w:tcW w:w="3749" w:type="pct"/>
            <w:shd w:val="clear" w:color="auto" w:fill="auto"/>
            <w:hideMark/>
          </w:tcPr>
          <w:p w:rsidR="00824428" w:rsidRPr="00C071BE" w:rsidRDefault="000B5824" w:rsidP="000B5824">
            <w:pPr>
              <w:ind w:firstLine="341"/>
              <w:jc w:val="both"/>
              <w:rPr>
                <w:iCs/>
                <w:lang w:val="lv-LV"/>
              </w:rPr>
            </w:pPr>
            <w:r w:rsidRPr="00C071BE">
              <w:rPr>
                <w:iCs/>
                <w:lang w:val="lv-LV"/>
              </w:rPr>
              <w:t>Tiesību akta projekts nodrošina</w:t>
            </w:r>
            <w:r w:rsidR="00824428" w:rsidRPr="00C071BE">
              <w:rPr>
                <w:iCs/>
                <w:lang w:val="lv-LV"/>
              </w:rPr>
              <w:t>:</w:t>
            </w:r>
          </w:p>
          <w:p w:rsidR="00824428" w:rsidRPr="00C071BE" w:rsidRDefault="000B5824" w:rsidP="00632F16">
            <w:pPr>
              <w:pStyle w:val="ListParagraph"/>
              <w:numPr>
                <w:ilvl w:val="1"/>
                <w:numId w:val="3"/>
              </w:numPr>
              <w:tabs>
                <w:tab w:val="left" w:pos="835"/>
              </w:tabs>
              <w:jc w:val="both"/>
              <w:rPr>
                <w:szCs w:val="24"/>
                <w:lang w:val="lv-LV"/>
              </w:rPr>
            </w:pPr>
            <w:r w:rsidRPr="00C071BE">
              <w:rPr>
                <w:szCs w:val="24"/>
                <w:lang w:val="lv-LV"/>
              </w:rPr>
              <w:t xml:space="preserve"> Eiropas Savienības Valstu reģionālā atbalsta pamatnostādņu  2007.</w:t>
            </w:r>
            <w:r w:rsidR="00FF0DB8" w:rsidRPr="00C071BE">
              <w:rPr>
                <w:szCs w:val="24"/>
                <w:lang w:val="lv-LV"/>
              </w:rPr>
              <w:t xml:space="preserve"> </w:t>
            </w:r>
            <w:r w:rsidRPr="00C071BE">
              <w:rPr>
                <w:szCs w:val="24"/>
                <w:lang w:val="lv-LV"/>
              </w:rPr>
              <w:t>— 2013.gadam</w:t>
            </w:r>
            <w:r w:rsidR="00A7629D" w:rsidRPr="00C071BE">
              <w:rPr>
                <w:szCs w:val="24"/>
                <w:lang w:val="lv-LV"/>
              </w:rPr>
              <w:t xml:space="preserve"> (2006/C 54/08)</w:t>
            </w:r>
            <w:r w:rsidRPr="00C071BE">
              <w:rPr>
                <w:szCs w:val="24"/>
                <w:lang w:val="lv-LV"/>
              </w:rPr>
              <w:t xml:space="preserve"> ievērošanu</w:t>
            </w:r>
            <w:r w:rsidR="00824428" w:rsidRPr="00C071BE">
              <w:rPr>
                <w:szCs w:val="24"/>
                <w:lang w:val="lv-LV"/>
              </w:rPr>
              <w:t>;</w:t>
            </w:r>
          </w:p>
          <w:p w:rsidR="00340C6E" w:rsidRPr="00C071BE" w:rsidRDefault="00824428" w:rsidP="00632F16">
            <w:pPr>
              <w:pStyle w:val="ListParagraph"/>
              <w:numPr>
                <w:ilvl w:val="1"/>
                <w:numId w:val="3"/>
              </w:numPr>
              <w:tabs>
                <w:tab w:val="left" w:pos="835"/>
              </w:tabs>
              <w:jc w:val="both"/>
              <w:rPr>
                <w:szCs w:val="24"/>
                <w:lang w:val="lv-LV"/>
              </w:rPr>
            </w:pPr>
            <w:r w:rsidRPr="00C071BE">
              <w:rPr>
                <w:szCs w:val="24"/>
                <w:lang w:val="lv-LV"/>
              </w:rPr>
              <w:t>Komisijas paziņojuma Kopienas pamatnostādnes par valsts atbalstu grūtībās nonākušu uzņēmumu glābšanai un pārstrukturēšanai (2004/C 244/02) (turpmāk – Kopienas pamatnostādnes) ievērošanu.</w:t>
            </w:r>
          </w:p>
          <w:p w:rsidR="0085498B" w:rsidRPr="00C071BE" w:rsidRDefault="004136A9" w:rsidP="004136A9">
            <w:pPr>
              <w:tabs>
                <w:tab w:val="left" w:pos="835"/>
              </w:tabs>
              <w:jc w:val="both"/>
              <w:rPr>
                <w:szCs w:val="24"/>
                <w:lang w:val="lv-LV"/>
              </w:rPr>
            </w:pPr>
            <w:r w:rsidRPr="00C071BE">
              <w:rPr>
                <w:szCs w:val="24"/>
                <w:lang w:val="lv-LV"/>
              </w:rPr>
              <w:t>Kopienas pamatnostādnes</w:t>
            </w:r>
            <w:r w:rsidR="0085498B" w:rsidRPr="00C071BE">
              <w:rPr>
                <w:szCs w:val="24"/>
                <w:lang w:val="lv-LV"/>
              </w:rPr>
              <w:t xml:space="preserve"> tiks pārskatītas un Eiropas Savienības līmeņa normatīvais regulējums </w:t>
            </w:r>
            <w:r w:rsidR="000A53B5" w:rsidRPr="00C071BE">
              <w:rPr>
                <w:szCs w:val="24"/>
                <w:lang w:val="lv-LV"/>
              </w:rPr>
              <w:t xml:space="preserve">Kopienas pamatnostādnēm, kas saistīts ar reģionālā investīciju atbalsta finansēšanu, </w:t>
            </w:r>
            <w:r w:rsidR="0085498B" w:rsidRPr="00C071BE">
              <w:rPr>
                <w:szCs w:val="24"/>
                <w:lang w:val="lv-LV"/>
              </w:rPr>
              <w:t xml:space="preserve">mainīsies ar 2014.gada 1.janvāri. </w:t>
            </w:r>
            <w:r w:rsidR="00CB752D" w:rsidRPr="00C071BE">
              <w:rPr>
                <w:szCs w:val="24"/>
                <w:lang w:val="lv-LV"/>
              </w:rPr>
              <w:t>Valstu reģionālā atbalsta pamatnostād</w:t>
            </w:r>
            <w:r w:rsidRPr="00C071BE">
              <w:rPr>
                <w:szCs w:val="24"/>
                <w:lang w:val="lv-LV"/>
              </w:rPr>
              <w:t>ņu</w:t>
            </w:r>
            <w:r w:rsidR="00CB752D" w:rsidRPr="00C071BE">
              <w:rPr>
                <w:szCs w:val="24"/>
                <w:lang w:val="lv-LV"/>
              </w:rPr>
              <w:t xml:space="preserve"> regulējums ir attiecināms uz Ministru kabineta noteikumu projekt</w:t>
            </w:r>
            <w:r w:rsidRPr="00C071BE">
              <w:rPr>
                <w:szCs w:val="24"/>
                <w:lang w:val="lv-LV"/>
              </w:rPr>
              <w:t xml:space="preserve">a 45.4.apakšpunktā iekļauto atbalstāmo darbību finansēšanu ar atbalsta intensitāti 50%. Pēc Kopienas pamatnostādņu pārskatīšanas iespējamā maksimālā atbalsta intensitāte </w:t>
            </w:r>
            <w:r w:rsidR="001B2FDE" w:rsidRPr="00C071BE">
              <w:rPr>
                <w:szCs w:val="24"/>
                <w:lang w:val="lv-LV"/>
              </w:rPr>
              <w:t xml:space="preserve">Ministru kabineta noteikumu projekta </w:t>
            </w:r>
            <w:r w:rsidRPr="00C071BE">
              <w:rPr>
                <w:szCs w:val="24"/>
                <w:lang w:val="lv-LV"/>
              </w:rPr>
              <w:t xml:space="preserve">45.4.apakšpunktā iekļautajām atbalstāmajām darbībām būs </w:t>
            </w:r>
            <w:r w:rsidR="00E43A50" w:rsidRPr="00C071BE">
              <w:rPr>
                <w:szCs w:val="24"/>
                <w:lang w:val="lv-LV"/>
              </w:rPr>
              <w:t>zemāka</w:t>
            </w:r>
            <w:r w:rsidR="00A7629D" w:rsidRPr="00C071BE">
              <w:rPr>
                <w:szCs w:val="24"/>
                <w:lang w:val="lv-LV"/>
              </w:rPr>
              <w:t xml:space="preserve">, kā arī nebūs nepieciešams sniegt individuālā </w:t>
            </w:r>
            <w:r w:rsidR="00E43A50" w:rsidRPr="00C071BE">
              <w:rPr>
                <w:szCs w:val="24"/>
                <w:lang w:val="lv-LV"/>
              </w:rPr>
              <w:t>valsts atbalsta paziņojumu par Ministru kabineta noteikumu 45.4.apakšpunktā atbalstā</w:t>
            </w:r>
            <w:r w:rsidR="001849A1" w:rsidRPr="00C071BE">
              <w:rPr>
                <w:szCs w:val="24"/>
                <w:lang w:val="lv-LV"/>
              </w:rPr>
              <w:t>majām darbībām</w:t>
            </w:r>
            <w:r w:rsidR="00E43A50" w:rsidRPr="00C071BE">
              <w:rPr>
                <w:szCs w:val="24"/>
                <w:lang w:val="lv-LV"/>
              </w:rPr>
              <w:t xml:space="preserve">. </w:t>
            </w:r>
          </w:p>
          <w:p w:rsidR="004136A9" w:rsidRPr="00C071BE" w:rsidRDefault="00E43A50" w:rsidP="00A7629D">
            <w:pPr>
              <w:tabs>
                <w:tab w:val="left" w:pos="835"/>
              </w:tabs>
              <w:jc w:val="both"/>
              <w:rPr>
                <w:szCs w:val="24"/>
                <w:lang w:val="lv-LV"/>
              </w:rPr>
            </w:pPr>
            <w:r w:rsidRPr="00C071BE">
              <w:rPr>
                <w:szCs w:val="24"/>
                <w:lang w:val="lv-LV"/>
              </w:rPr>
              <w:t>Iepriekš minēt</w:t>
            </w:r>
            <w:r w:rsidR="001B2FDE" w:rsidRPr="00C071BE">
              <w:rPr>
                <w:szCs w:val="24"/>
                <w:lang w:val="lv-LV"/>
              </w:rPr>
              <w:t>o</w:t>
            </w:r>
            <w:r w:rsidRPr="00C071BE">
              <w:rPr>
                <w:szCs w:val="24"/>
                <w:lang w:val="lv-LV"/>
              </w:rPr>
              <w:t xml:space="preserve"> Eiropas Savienības līmeņa normatīvā regulējuma valsts atbalsta jomā izmaiņu rezultātā būs nepieciešams veikt grozījumus Ministru kabineta noteikumu projekta 45.4.apakšpunktā</w:t>
            </w:r>
            <w:r w:rsidR="007C1E40" w:rsidRPr="00C071BE">
              <w:rPr>
                <w:szCs w:val="24"/>
                <w:lang w:val="lv-LV"/>
              </w:rPr>
              <w:t>,</w:t>
            </w:r>
            <w:r w:rsidRPr="00C071BE">
              <w:rPr>
                <w:szCs w:val="24"/>
                <w:lang w:val="lv-LV"/>
              </w:rPr>
              <w:t xml:space="preserve"> </w:t>
            </w:r>
            <w:r w:rsidR="00C90FFB" w:rsidRPr="00C071BE">
              <w:rPr>
                <w:szCs w:val="24"/>
                <w:lang w:val="lv-LV"/>
              </w:rPr>
              <w:t xml:space="preserve">samazinot atbalstāmo darbību atbalsta intensitāti, kā arī </w:t>
            </w:r>
            <w:r w:rsidRPr="00C071BE">
              <w:rPr>
                <w:szCs w:val="24"/>
                <w:lang w:val="lv-LV"/>
              </w:rPr>
              <w:t>47.punktā</w:t>
            </w:r>
            <w:r w:rsidR="007C1E40" w:rsidRPr="00C071BE">
              <w:rPr>
                <w:szCs w:val="24"/>
                <w:lang w:val="lv-LV"/>
              </w:rPr>
              <w:t xml:space="preserve"> un</w:t>
            </w:r>
            <w:r w:rsidR="00C90FFB" w:rsidRPr="00C071BE">
              <w:rPr>
                <w:szCs w:val="24"/>
                <w:lang w:val="lv-LV"/>
              </w:rPr>
              <w:t xml:space="preserve"> 48.2.1.apakšpunktā.</w:t>
            </w:r>
            <w:r w:rsidRPr="00C071BE">
              <w:rPr>
                <w:szCs w:val="24"/>
                <w:lang w:val="lv-LV"/>
              </w:rPr>
              <w:t xml:space="preserve"> </w:t>
            </w:r>
            <w:r w:rsidR="001849A1" w:rsidRPr="00C071BE">
              <w:rPr>
                <w:szCs w:val="24"/>
                <w:lang w:val="lv-LV"/>
              </w:rPr>
              <w:t xml:space="preserve">Izmaiņas Ministru kabineta noteikumu projektā būs nepieciešams veikt, ja līdz 2013.gada 30.aprīlim, izmantojot valsts atbalsta programmu un individuālo atbalsta projektu paziņojumu sistēmu </w:t>
            </w:r>
            <w:proofErr w:type="spellStart"/>
            <w:r w:rsidR="001849A1" w:rsidRPr="00C071BE">
              <w:rPr>
                <w:i/>
                <w:szCs w:val="24"/>
                <w:lang w:val="lv-LV"/>
              </w:rPr>
              <w:t>State</w:t>
            </w:r>
            <w:proofErr w:type="spellEnd"/>
            <w:r w:rsidR="001849A1" w:rsidRPr="00C071BE">
              <w:rPr>
                <w:i/>
                <w:szCs w:val="24"/>
                <w:lang w:val="lv-LV"/>
              </w:rPr>
              <w:t xml:space="preserve"> </w:t>
            </w:r>
            <w:proofErr w:type="spellStart"/>
            <w:r w:rsidR="001849A1" w:rsidRPr="00C071BE">
              <w:rPr>
                <w:i/>
                <w:szCs w:val="24"/>
                <w:lang w:val="lv-LV"/>
              </w:rPr>
              <w:t>Aid</w:t>
            </w:r>
            <w:proofErr w:type="spellEnd"/>
            <w:r w:rsidR="001849A1" w:rsidRPr="00C071BE">
              <w:rPr>
                <w:i/>
                <w:szCs w:val="24"/>
                <w:lang w:val="lv-LV"/>
              </w:rPr>
              <w:t xml:space="preserve"> </w:t>
            </w:r>
            <w:proofErr w:type="spellStart"/>
            <w:r w:rsidR="001849A1" w:rsidRPr="00C071BE">
              <w:rPr>
                <w:i/>
                <w:szCs w:val="24"/>
                <w:lang w:val="lv-LV"/>
              </w:rPr>
              <w:t>Notifictions</w:t>
            </w:r>
            <w:proofErr w:type="spellEnd"/>
            <w:r w:rsidR="001849A1" w:rsidRPr="00C071BE">
              <w:rPr>
                <w:i/>
                <w:szCs w:val="24"/>
                <w:lang w:val="lv-LV"/>
              </w:rPr>
              <w:t xml:space="preserve"> </w:t>
            </w:r>
            <w:proofErr w:type="spellStart"/>
            <w:r w:rsidR="001849A1" w:rsidRPr="00C071BE">
              <w:rPr>
                <w:i/>
                <w:szCs w:val="24"/>
                <w:lang w:val="lv-LV"/>
              </w:rPr>
              <w:t>Interactive</w:t>
            </w:r>
            <w:proofErr w:type="spellEnd"/>
            <w:r w:rsidR="001849A1" w:rsidRPr="00C071BE">
              <w:rPr>
                <w:szCs w:val="24"/>
                <w:lang w:val="lv-LV"/>
              </w:rPr>
              <w:t xml:space="preserve"> saskaņā ar Ministru kabineta 2007.gada 6.februāra noteikumiem Nr.100 „Kārtība, kādā Eiropas Komisijā elektroniski iesniedz atbalsta programmu un individuālo atbalsta projektu paziņojumus un kādā piešķir un anulē atbalsta paziņojumu elektroniskās </w:t>
            </w:r>
            <w:r w:rsidR="00A7629D" w:rsidRPr="00C071BE">
              <w:rPr>
                <w:szCs w:val="24"/>
                <w:lang w:val="lv-LV"/>
              </w:rPr>
              <w:t xml:space="preserve">sistēmas </w:t>
            </w:r>
            <w:r w:rsidR="001849A1" w:rsidRPr="00C071BE">
              <w:rPr>
                <w:szCs w:val="24"/>
                <w:lang w:val="lv-LV"/>
              </w:rPr>
              <w:t>lietošanas tiesības</w:t>
            </w:r>
            <w:r w:rsidR="00A7629D" w:rsidRPr="00C071BE">
              <w:rPr>
                <w:szCs w:val="24"/>
                <w:lang w:val="lv-LV"/>
              </w:rPr>
              <w:t xml:space="preserve">” Ekonomikas ministrija nebūs iesniegusi paziņojumu par individuālā atbalsta projektu Ministru kabineta noteikumu projekta 45.4.apakšpunktā plānotajām darbībām. </w:t>
            </w:r>
            <w:r w:rsidR="001849A1" w:rsidRPr="00C071BE">
              <w:rPr>
                <w:szCs w:val="24"/>
                <w:lang w:val="lv-LV"/>
              </w:rPr>
              <w:t xml:space="preserve"> </w:t>
            </w:r>
          </w:p>
        </w:tc>
      </w:tr>
    </w:tbl>
    <w:p w:rsidR="00340C6E" w:rsidRDefault="00340C6E">
      <w:pPr>
        <w:spacing w:after="60"/>
        <w:rPr>
          <w:szCs w:val="24"/>
          <w:lang w:val="lv-LV"/>
        </w:rPr>
      </w:pPr>
    </w:p>
    <w:p w:rsidR="00C071BE" w:rsidRDefault="00C071BE">
      <w:pPr>
        <w:rPr>
          <w:szCs w:val="24"/>
          <w:lang w:val="lv-LV"/>
        </w:rPr>
      </w:pPr>
      <w:r>
        <w:rPr>
          <w:szCs w:val="24"/>
          <w:lang w:val="lv-LV"/>
        </w:rPr>
        <w:br w:type="page"/>
      </w:r>
    </w:p>
    <w:p w:rsidR="00632F16" w:rsidRDefault="00632F16">
      <w:pPr>
        <w:spacing w:after="60"/>
        <w:rPr>
          <w:szCs w:val="24"/>
          <w:lang w:val="lv-LV"/>
        </w:rPr>
      </w:pPr>
    </w:p>
    <w:tbl>
      <w:tblPr>
        <w:tblW w:w="499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51"/>
        <w:gridCol w:w="1398"/>
        <w:gridCol w:w="2094"/>
        <w:gridCol w:w="3869"/>
      </w:tblGrid>
      <w:tr w:rsidR="00340C6E" w:rsidRPr="00C040C4" w:rsidTr="0087512B">
        <w:trPr>
          <w:tblCellSpacing w:w="15" w:type="dxa"/>
        </w:trPr>
        <w:tc>
          <w:tcPr>
            <w:tcW w:w="4967" w:type="pct"/>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340C6E" w:rsidRPr="00340C6E" w:rsidRDefault="00340C6E" w:rsidP="0087512B">
            <w:pPr>
              <w:jc w:val="center"/>
              <w:rPr>
                <w:b/>
                <w:bCs/>
                <w:szCs w:val="24"/>
                <w:lang w:val="lv-LV"/>
              </w:rPr>
            </w:pPr>
            <w:r w:rsidRPr="00340C6E">
              <w:rPr>
                <w:b/>
                <w:bCs/>
                <w:szCs w:val="24"/>
                <w:lang w:val="lv-LV"/>
              </w:rPr>
              <w:t>1.tabula</w:t>
            </w:r>
            <w:r w:rsidRPr="00340C6E">
              <w:rPr>
                <w:b/>
                <w:bCs/>
                <w:szCs w:val="24"/>
                <w:lang w:val="lv-LV"/>
              </w:rPr>
              <w:br/>
              <w:t>Tiesību akta projekta atbilstība ES tiesību aktiem</w:t>
            </w:r>
          </w:p>
        </w:tc>
      </w:tr>
      <w:tr w:rsidR="00CF6DE0" w:rsidRPr="001F10BC" w:rsidTr="0085498B">
        <w:trPr>
          <w:tblCellSpacing w:w="15" w:type="dxa"/>
        </w:trPr>
        <w:tc>
          <w:tcPr>
            <w:tcW w:w="9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0C6E" w:rsidRPr="00340C6E" w:rsidRDefault="00340C6E" w:rsidP="0087512B">
            <w:pPr>
              <w:jc w:val="both"/>
              <w:rPr>
                <w:szCs w:val="24"/>
                <w:lang w:val="lv-LV"/>
              </w:rPr>
            </w:pPr>
            <w:r w:rsidRPr="00340C6E">
              <w:rPr>
                <w:szCs w:val="24"/>
                <w:lang w:val="lv-LV"/>
              </w:rPr>
              <w:t>Attiecīgā ES tiesību akta datums, numurs un nosaukums</w:t>
            </w:r>
          </w:p>
        </w:tc>
        <w:tc>
          <w:tcPr>
            <w:tcW w:w="3961"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51293" w:rsidRPr="00B1531D" w:rsidRDefault="00F51293" w:rsidP="00F51293">
            <w:pPr>
              <w:jc w:val="both"/>
              <w:rPr>
                <w:szCs w:val="24"/>
                <w:lang w:val="lv-LV"/>
              </w:rPr>
            </w:pPr>
            <w:r w:rsidRPr="00B1531D">
              <w:rPr>
                <w:szCs w:val="24"/>
                <w:lang w:val="lv-LV"/>
              </w:rPr>
              <w:t>Tiesību akta projekts nodrošina šādu Eiropas Savienības tiesību akta prasību ievērošanu:</w:t>
            </w:r>
          </w:p>
          <w:p w:rsidR="00F51293" w:rsidRPr="00632F16" w:rsidRDefault="00A540FF" w:rsidP="00632F16">
            <w:pPr>
              <w:pStyle w:val="ListParagraph"/>
              <w:numPr>
                <w:ilvl w:val="1"/>
                <w:numId w:val="3"/>
              </w:numPr>
              <w:tabs>
                <w:tab w:val="left" w:pos="835"/>
              </w:tabs>
              <w:jc w:val="both"/>
              <w:rPr>
                <w:b/>
                <w:szCs w:val="24"/>
                <w:lang w:val="lv-LV"/>
              </w:rPr>
            </w:pPr>
            <w:r w:rsidRPr="00632F16">
              <w:rPr>
                <w:szCs w:val="24"/>
                <w:lang w:val="lv-LV"/>
              </w:rPr>
              <w:t xml:space="preserve">Komisijas Regula </w:t>
            </w:r>
            <w:proofErr w:type="spellStart"/>
            <w:r w:rsidRPr="00632F16">
              <w:rPr>
                <w:szCs w:val="24"/>
                <w:lang w:val="lv-LV"/>
              </w:rPr>
              <w:t>Nr</w:t>
            </w:r>
            <w:proofErr w:type="spellEnd"/>
            <w:r w:rsidRPr="00632F16">
              <w:rPr>
                <w:szCs w:val="24"/>
                <w:lang w:val="lv-LV"/>
              </w:rPr>
              <w:t>. 800/2008</w:t>
            </w:r>
            <w:r w:rsidR="00F51293" w:rsidRPr="00632F16">
              <w:rPr>
                <w:b/>
                <w:szCs w:val="24"/>
                <w:lang w:val="lv-LV"/>
              </w:rPr>
              <w:t>;</w:t>
            </w:r>
          </w:p>
          <w:p w:rsidR="00A540FF" w:rsidRPr="00D97559" w:rsidRDefault="00A540FF" w:rsidP="00632F16">
            <w:pPr>
              <w:pStyle w:val="ListParagraph"/>
              <w:numPr>
                <w:ilvl w:val="1"/>
                <w:numId w:val="3"/>
              </w:numPr>
              <w:tabs>
                <w:tab w:val="left" w:pos="835"/>
              </w:tabs>
              <w:jc w:val="both"/>
              <w:rPr>
                <w:b/>
                <w:szCs w:val="24"/>
                <w:lang w:val="lv-LV"/>
              </w:rPr>
            </w:pPr>
            <w:proofErr w:type="spellStart"/>
            <w:r w:rsidRPr="00632F16">
              <w:rPr>
                <w:bCs/>
                <w:szCs w:val="24"/>
              </w:rPr>
              <w:t>Komisijas</w:t>
            </w:r>
            <w:proofErr w:type="spellEnd"/>
            <w:r w:rsidRPr="00632F16">
              <w:rPr>
                <w:bCs/>
                <w:szCs w:val="24"/>
              </w:rPr>
              <w:t xml:space="preserve"> </w:t>
            </w:r>
            <w:proofErr w:type="spellStart"/>
            <w:r w:rsidRPr="00632F16">
              <w:rPr>
                <w:bCs/>
                <w:szCs w:val="24"/>
              </w:rPr>
              <w:t>Regula</w:t>
            </w:r>
            <w:proofErr w:type="spellEnd"/>
            <w:r w:rsidRPr="00632F16">
              <w:rPr>
                <w:bCs/>
                <w:szCs w:val="24"/>
              </w:rPr>
              <w:t xml:space="preserve"> </w:t>
            </w:r>
            <w:r w:rsidR="00F95943">
              <w:rPr>
                <w:bCs/>
                <w:szCs w:val="24"/>
              </w:rPr>
              <w:t>Nr.1998/2006.</w:t>
            </w:r>
          </w:p>
        </w:tc>
      </w:tr>
      <w:tr w:rsidR="00CF6DE0" w:rsidRPr="001F10BC" w:rsidTr="0085498B">
        <w:trPr>
          <w:tblCellSpacing w:w="15" w:type="dxa"/>
        </w:trPr>
        <w:tc>
          <w:tcPr>
            <w:tcW w:w="9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0C6E" w:rsidRPr="00340C6E" w:rsidRDefault="00340C6E" w:rsidP="0087512B">
            <w:pPr>
              <w:jc w:val="center"/>
              <w:rPr>
                <w:szCs w:val="24"/>
                <w:lang w:val="lv-LV"/>
              </w:rPr>
            </w:pPr>
            <w:r w:rsidRPr="00340C6E">
              <w:rPr>
                <w:szCs w:val="24"/>
                <w:lang w:val="lv-LV"/>
              </w:rPr>
              <w:t>A</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0C6E" w:rsidRPr="00340C6E" w:rsidRDefault="00340C6E" w:rsidP="0087512B">
            <w:pPr>
              <w:jc w:val="center"/>
              <w:rPr>
                <w:szCs w:val="24"/>
                <w:lang w:val="lv-LV"/>
              </w:rPr>
            </w:pPr>
            <w:r w:rsidRPr="00340C6E">
              <w:rPr>
                <w:szCs w:val="24"/>
                <w:lang w:val="lv-LV"/>
              </w:rPr>
              <w:t>B</w:t>
            </w:r>
          </w:p>
        </w:tc>
        <w:tc>
          <w:tcPr>
            <w:tcW w:w="11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0C6E" w:rsidRPr="00340C6E" w:rsidRDefault="00340C6E" w:rsidP="0087512B">
            <w:pPr>
              <w:jc w:val="center"/>
              <w:rPr>
                <w:szCs w:val="24"/>
                <w:lang w:val="lv-LV"/>
              </w:rPr>
            </w:pPr>
            <w:r w:rsidRPr="00340C6E">
              <w:rPr>
                <w:szCs w:val="24"/>
                <w:lang w:val="lv-LV"/>
              </w:rPr>
              <w:t>C</w:t>
            </w:r>
          </w:p>
        </w:tc>
        <w:tc>
          <w:tcPr>
            <w:tcW w:w="20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0C6E" w:rsidRPr="00340C6E" w:rsidRDefault="00340C6E" w:rsidP="0087512B">
            <w:pPr>
              <w:jc w:val="center"/>
              <w:rPr>
                <w:szCs w:val="24"/>
                <w:lang w:val="lv-LV"/>
              </w:rPr>
            </w:pPr>
            <w:r w:rsidRPr="00340C6E">
              <w:rPr>
                <w:szCs w:val="24"/>
                <w:lang w:val="lv-LV"/>
              </w:rPr>
              <w:t>D</w:t>
            </w:r>
          </w:p>
        </w:tc>
      </w:tr>
      <w:tr w:rsidR="00CF6DE0" w:rsidRPr="00C040C4" w:rsidTr="0085498B">
        <w:trPr>
          <w:tblCellSpacing w:w="15" w:type="dxa"/>
        </w:trPr>
        <w:tc>
          <w:tcPr>
            <w:tcW w:w="990" w:type="pct"/>
            <w:tcBorders>
              <w:top w:val="outset" w:sz="6" w:space="0" w:color="auto"/>
              <w:left w:val="outset" w:sz="6" w:space="0" w:color="auto"/>
              <w:bottom w:val="outset" w:sz="6" w:space="0" w:color="auto"/>
              <w:right w:val="outset" w:sz="6" w:space="0" w:color="auto"/>
            </w:tcBorders>
            <w:shd w:val="clear" w:color="auto" w:fill="auto"/>
            <w:hideMark/>
          </w:tcPr>
          <w:p w:rsidR="00340C6E" w:rsidRPr="00340C6E" w:rsidRDefault="00340C6E" w:rsidP="0087512B">
            <w:pPr>
              <w:pStyle w:val="naiskr"/>
              <w:spacing w:before="0" w:after="0"/>
              <w:jc w:val="both"/>
            </w:pPr>
            <w:r w:rsidRPr="00340C6E">
              <w:t xml:space="preserve">Attiecīgā ES tiesību akta panta numurs (uzskaitot katru tiesību akta </w:t>
            </w:r>
            <w:r w:rsidRPr="00340C6E">
              <w:br/>
              <w:t>vienību – pantu, daļu, punktu, apakšpunktu)</w:t>
            </w:r>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340C6E" w:rsidRPr="00340C6E" w:rsidRDefault="00340C6E" w:rsidP="0087512B">
            <w:pPr>
              <w:pStyle w:val="naiskr"/>
              <w:spacing w:before="0" w:after="0"/>
              <w:jc w:val="both"/>
            </w:pPr>
            <w:r w:rsidRPr="00340C6E">
              <w:t>Projekta vienība, kas pārņem vai ievieš katru šīs tabulas A ailē minēto ES tiesību akta vienību</w:t>
            </w:r>
          </w:p>
        </w:tc>
        <w:tc>
          <w:tcPr>
            <w:tcW w:w="1131" w:type="pct"/>
            <w:tcBorders>
              <w:top w:val="outset" w:sz="6" w:space="0" w:color="auto"/>
              <w:left w:val="outset" w:sz="6" w:space="0" w:color="auto"/>
              <w:bottom w:val="outset" w:sz="6" w:space="0" w:color="auto"/>
              <w:right w:val="outset" w:sz="6" w:space="0" w:color="auto"/>
            </w:tcBorders>
            <w:shd w:val="clear" w:color="auto" w:fill="auto"/>
            <w:hideMark/>
          </w:tcPr>
          <w:p w:rsidR="00340C6E" w:rsidRPr="00340C6E" w:rsidRDefault="00340C6E" w:rsidP="0087512B">
            <w:pPr>
              <w:pStyle w:val="naiskr"/>
              <w:spacing w:before="0" w:after="0"/>
              <w:jc w:val="both"/>
            </w:pPr>
            <w:r w:rsidRPr="00340C6E">
              <w:t>Informācija par to, vai šīs tabulas A ailē minētās ES tiesību akta vienības tiek pārņemtas vai ieviestas pilnībā vai daļēji.</w:t>
            </w:r>
          </w:p>
          <w:p w:rsidR="00340C6E" w:rsidRPr="00340C6E" w:rsidRDefault="00340C6E" w:rsidP="0087512B">
            <w:pPr>
              <w:pStyle w:val="naiskr"/>
              <w:spacing w:before="0" w:after="0"/>
              <w:jc w:val="both"/>
            </w:pPr>
            <w:r w:rsidRPr="00340C6E">
              <w:t>Ja attiecīgā ES tiesību akta vienība tiek pārņemta vai ieviesta daļēji, – sniedz attiecīgu skaidrojumu, kā arī precīzi norāda, kad un kādā veidā ES tiesību akta vienība tiks pārņemta vai ieviesta pilnībā.</w:t>
            </w:r>
          </w:p>
          <w:p w:rsidR="00340C6E" w:rsidRPr="00340C6E" w:rsidRDefault="00340C6E" w:rsidP="0087512B">
            <w:pPr>
              <w:pStyle w:val="naiskr"/>
              <w:spacing w:before="0" w:after="0"/>
              <w:jc w:val="both"/>
            </w:pPr>
            <w:r w:rsidRPr="00340C6E">
              <w:t>Norāda institūciju, kas ir atbildīga par šo saistību izpildi pilnībā</w:t>
            </w:r>
          </w:p>
        </w:tc>
        <w:tc>
          <w:tcPr>
            <w:tcW w:w="2048" w:type="pct"/>
            <w:tcBorders>
              <w:top w:val="outset" w:sz="6" w:space="0" w:color="auto"/>
              <w:left w:val="outset" w:sz="6" w:space="0" w:color="auto"/>
              <w:bottom w:val="outset" w:sz="6" w:space="0" w:color="auto"/>
              <w:right w:val="outset" w:sz="6" w:space="0" w:color="auto"/>
            </w:tcBorders>
            <w:shd w:val="clear" w:color="auto" w:fill="auto"/>
            <w:hideMark/>
          </w:tcPr>
          <w:p w:rsidR="00340C6E" w:rsidRPr="00340C6E" w:rsidRDefault="00340C6E" w:rsidP="0087512B">
            <w:pPr>
              <w:pStyle w:val="naiskr"/>
              <w:spacing w:before="0" w:after="0"/>
              <w:jc w:val="both"/>
            </w:pPr>
            <w:r w:rsidRPr="00340C6E">
              <w:t>Informācija par to, vai šīs tabulas B ailē minētās projekta vienības paredz stingrākas prasības nekā šīs tabulas A ailē minētās ES tiesību akta vienības.</w:t>
            </w:r>
          </w:p>
          <w:p w:rsidR="00340C6E" w:rsidRPr="00340C6E" w:rsidRDefault="00340C6E" w:rsidP="0087512B">
            <w:pPr>
              <w:pStyle w:val="naiskr"/>
              <w:spacing w:before="0" w:after="0"/>
              <w:jc w:val="both"/>
            </w:pPr>
            <w:r w:rsidRPr="00340C6E">
              <w:t>Ja projekts satur stingrākas prasības nekā attiecīgais ES tiesību akts, – norāda pamatojumu un samērīgumu.</w:t>
            </w:r>
          </w:p>
          <w:p w:rsidR="00340C6E" w:rsidRPr="00340C6E" w:rsidRDefault="00340C6E" w:rsidP="0087512B">
            <w:pPr>
              <w:pStyle w:val="naiskr"/>
              <w:spacing w:before="0" w:after="0"/>
              <w:jc w:val="both"/>
            </w:pPr>
            <w:r w:rsidRPr="00340C6E">
              <w:t>Norāda iespējamās alternatīvas (</w:t>
            </w:r>
            <w:proofErr w:type="spellStart"/>
            <w:r w:rsidRPr="00340C6E">
              <w:t>t.sk</w:t>
            </w:r>
            <w:proofErr w:type="spellEnd"/>
            <w:r w:rsidRPr="00340C6E">
              <w:t>. alternatīvas, kas neparedz tiesiskā regulējuma izstrādi) – kādos gadījumos būtu iespējams izvairīties no stingrāku prasību noteikšanas, nekā paredzēts attiecīgajos ES tiesību aktos</w:t>
            </w:r>
          </w:p>
        </w:tc>
      </w:tr>
      <w:tr w:rsidR="00CF6DE0" w:rsidRPr="001F10BC" w:rsidTr="0085498B">
        <w:trPr>
          <w:trHeight w:val="446"/>
          <w:tblCellSpacing w:w="15" w:type="dxa"/>
        </w:trPr>
        <w:tc>
          <w:tcPr>
            <w:tcW w:w="990" w:type="pct"/>
            <w:tcBorders>
              <w:top w:val="outset" w:sz="6" w:space="0" w:color="auto"/>
              <w:left w:val="outset" w:sz="6" w:space="0" w:color="auto"/>
              <w:bottom w:val="outset" w:sz="6" w:space="0" w:color="auto"/>
              <w:right w:val="outset" w:sz="6" w:space="0" w:color="auto"/>
            </w:tcBorders>
            <w:shd w:val="clear" w:color="auto" w:fill="auto"/>
          </w:tcPr>
          <w:p w:rsidR="00CF6DE0" w:rsidRPr="00C071BE" w:rsidRDefault="00260CB5" w:rsidP="00705E54">
            <w:pPr>
              <w:pStyle w:val="naiskr"/>
              <w:spacing w:before="0" w:after="0"/>
              <w:jc w:val="both"/>
              <w:rPr>
                <w:i/>
              </w:rPr>
            </w:pPr>
            <w:r w:rsidRPr="00C071BE">
              <w:rPr>
                <w:i/>
              </w:rPr>
              <w:t xml:space="preserve">Komisijas Regula </w:t>
            </w:r>
            <w:proofErr w:type="spellStart"/>
            <w:r w:rsidRPr="00C071BE">
              <w:rPr>
                <w:i/>
              </w:rPr>
              <w:t>Nr</w:t>
            </w:r>
            <w:proofErr w:type="spellEnd"/>
            <w:r w:rsidRPr="00C071BE">
              <w:rPr>
                <w:i/>
              </w:rPr>
              <w:t>. 800/2008</w:t>
            </w:r>
          </w:p>
          <w:p w:rsidR="00260CB5" w:rsidRPr="00C071BE" w:rsidRDefault="00260CB5" w:rsidP="00705E54">
            <w:pPr>
              <w:pStyle w:val="naiskr"/>
              <w:spacing w:before="0" w:after="0"/>
              <w:jc w:val="both"/>
              <w:rPr>
                <w:i/>
              </w:rPr>
            </w:pPr>
            <w:r w:rsidRPr="00C071BE">
              <w:rPr>
                <w:i/>
              </w:rPr>
              <w:t>1.pielikums</w:t>
            </w:r>
          </w:p>
        </w:tc>
        <w:tc>
          <w:tcPr>
            <w:tcW w:w="750" w:type="pct"/>
            <w:tcBorders>
              <w:top w:val="outset" w:sz="6" w:space="0" w:color="auto"/>
              <w:left w:val="outset" w:sz="6" w:space="0" w:color="auto"/>
              <w:bottom w:val="outset" w:sz="6" w:space="0" w:color="auto"/>
              <w:right w:val="outset" w:sz="6" w:space="0" w:color="auto"/>
            </w:tcBorders>
            <w:shd w:val="clear" w:color="auto" w:fill="auto"/>
          </w:tcPr>
          <w:p w:rsidR="00CF6DE0" w:rsidRPr="00C071BE" w:rsidRDefault="00260CB5" w:rsidP="005631A6">
            <w:pPr>
              <w:jc w:val="both"/>
              <w:rPr>
                <w:i/>
              </w:rPr>
            </w:pPr>
            <w:r w:rsidRPr="00C071BE">
              <w:rPr>
                <w:i/>
                <w:szCs w:val="24"/>
                <w:lang w:val="lv-LV"/>
              </w:rPr>
              <w:t>Ministru kabineta noteikumu projekta 18., 2</w:t>
            </w:r>
            <w:r w:rsidR="005631A6" w:rsidRPr="00C071BE">
              <w:rPr>
                <w:i/>
                <w:szCs w:val="24"/>
                <w:lang w:val="lv-LV"/>
              </w:rPr>
              <w:t>5</w:t>
            </w:r>
            <w:r w:rsidRPr="00C071BE">
              <w:rPr>
                <w:i/>
                <w:szCs w:val="24"/>
                <w:lang w:val="lv-LV"/>
              </w:rPr>
              <w:t>. punkts</w:t>
            </w:r>
            <w:r w:rsidRPr="00C071BE">
              <w:rPr>
                <w:i/>
              </w:rPr>
              <w:t xml:space="preserve"> </w:t>
            </w:r>
          </w:p>
        </w:tc>
        <w:tc>
          <w:tcPr>
            <w:tcW w:w="1131" w:type="pct"/>
            <w:tcBorders>
              <w:top w:val="outset" w:sz="6" w:space="0" w:color="auto"/>
              <w:left w:val="outset" w:sz="6" w:space="0" w:color="auto"/>
              <w:bottom w:val="outset" w:sz="6" w:space="0" w:color="auto"/>
              <w:right w:val="outset" w:sz="6" w:space="0" w:color="auto"/>
            </w:tcBorders>
            <w:shd w:val="clear" w:color="auto" w:fill="auto"/>
          </w:tcPr>
          <w:p w:rsidR="00CF6DE0" w:rsidRPr="00CF6DE0" w:rsidRDefault="00260CB5" w:rsidP="0087512B">
            <w:pPr>
              <w:pStyle w:val="naiskr"/>
              <w:spacing w:before="0" w:after="0"/>
              <w:jc w:val="both"/>
              <w:rPr>
                <w:i/>
              </w:rPr>
            </w:pPr>
            <w:r>
              <w:rPr>
                <w:i/>
              </w:rPr>
              <w:t>Ieviesta pilnībā</w:t>
            </w:r>
          </w:p>
        </w:tc>
        <w:tc>
          <w:tcPr>
            <w:tcW w:w="2048" w:type="pct"/>
            <w:tcBorders>
              <w:top w:val="outset" w:sz="6" w:space="0" w:color="auto"/>
              <w:left w:val="outset" w:sz="6" w:space="0" w:color="auto"/>
              <w:bottom w:val="outset" w:sz="6" w:space="0" w:color="auto"/>
              <w:right w:val="outset" w:sz="6" w:space="0" w:color="auto"/>
            </w:tcBorders>
            <w:shd w:val="clear" w:color="auto" w:fill="auto"/>
          </w:tcPr>
          <w:p w:rsidR="00CF6DE0" w:rsidRPr="00340C6E" w:rsidRDefault="00260CB5" w:rsidP="0087512B">
            <w:pPr>
              <w:pStyle w:val="naiskr"/>
              <w:spacing w:before="0" w:after="0"/>
              <w:jc w:val="both"/>
            </w:pPr>
            <w:r w:rsidRPr="00260CB5">
              <w:t>neparedz stingrākas prasības</w:t>
            </w:r>
          </w:p>
        </w:tc>
      </w:tr>
      <w:tr w:rsidR="00CF6DE0" w:rsidRPr="001F10BC" w:rsidTr="0085498B">
        <w:trPr>
          <w:tblCellSpacing w:w="15" w:type="dxa"/>
        </w:trPr>
        <w:tc>
          <w:tcPr>
            <w:tcW w:w="990" w:type="pct"/>
            <w:tcBorders>
              <w:top w:val="outset" w:sz="6" w:space="0" w:color="auto"/>
              <w:left w:val="outset" w:sz="6" w:space="0" w:color="auto"/>
              <w:bottom w:val="outset" w:sz="6" w:space="0" w:color="auto"/>
              <w:right w:val="outset" w:sz="6" w:space="0" w:color="auto"/>
            </w:tcBorders>
            <w:shd w:val="clear" w:color="auto" w:fill="auto"/>
            <w:hideMark/>
          </w:tcPr>
          <w:p w:rsidR="00340C6E" w:rsidRPr="00C071BE" w:rsidRDefault="00340C6E" w:rsidP="00DB2F24">
            <w:pPr>
              <w:pStyle w:val="naisf"/>
              <w:tabs>
                <w:tab w:val="left" w:pos="0"/>
                <w:tab w:val="num" w:pos="795"/>
              </w:tabs>
              <w:spacing w:before="0" w:after="0"/>
              <w:rPr>
                <w:i/>
                <w:szCs w:val="24"/>
              </w:rPr>
            </w:pPr>
            <w:r w:rsidRPr="00C071BE">
              <w:rPr>
                <w:i/>
                <w:szCs w:val="24"/>
              </w:rPr>
              <w:t>Komisijas Regulas Nr.</w:t>
            </w:r>
            <w:r w:rsidR="004F4F5C" w:rsidRPr="00C071BE">
              <w:rPr>
                <w:i/>
                <w:szCs w:val="24"/>
              </w:rPr>
              <w:t>1998</w:t>
            </w:r>
            <w:r w:rsidRPr="00C071BE">
              <w:rPr>
                <w:i/>
                <w:szCs w:val="24"/>
              </w:rPr>
              <w:t>/200</w:t>
            </w:r>
            <w:r w:rsidR="004F4F5C" w:rsidRPr="00C071BE">
              <w:rPr>
                <w:i/>
                <w:szCs w:val="24"/>
              </w:rPr>
              <w:t xml:space="preserve">6 </w:t>
            </w:r>
            <w:r w:rsidR="00DB2F24" w:rsidRPr="00C071BE">
              <w:rPr>
                <w:i/>
                <w:szCs w:val="24"/>
              </w:rPr>
              <w:t>1</w:t>
            </w:r>
            <w:r w:rsidRPr="00C071BE">
              <w:rPr>
                <w:i/>
                <w:szCs w:val="24"/>
              </w:rPr>
              <w:t xml:space="preserve">.panta </w:t>
            </w:r>
            <w:r w:rsidR="00DB2F24" w:rsidRPr="00C071BE">
              <w:rPr>
                <w:i/>
                <w:szCs w:val="24"/>
              </w:rPr>
              <w:t>1</w:t>
            </w:r>
            <w:r w:rsidRPr="00C071BE">
              <w:rPr>
                <w:i/>
                <w:szCs w:val="24"/>
              </w:rPr>
              <w:t>.punkts;</w:t>
            </w:r>
          </w:p>
        </w:tc>
        <w:tc>
          <w:tcPr>
            <w:tcW w:w="750" w:type="pct"/>
            <w:tcBorders>
              <w:top w:val="outset" w:sz="6" w:space="0" w:color="auto"/>
              <w:left w:val="outset" w:sz="6" w:space="0" w:color="auto"/>
              <w:bottom w:val="outset" w:sz="6" w:space="0" w:color="auto"/>
              <w:right w:val="outset" w:sz="6" w:space="0" w:color="auto"/>
            </w:tcBorders>
            <w:shd w:val="clear" w:color="auto" w:fill="auto"/>
          </w:tcPr>
          <w:p w:rsidR="00340C6E" w:rsidRPr="00C071BE" w:rsidRDefault="00C1277A" w:rsidP="00260CB5">
            <w:pPr>
              <w:jc w:val="both"/>
              <w:rPr>
                <w:i/>
                <w:szCs w:val="24"/>
                <w:lang w:val="lv-LV"/>
              </w:rPr>
            </w:pPr>
            <w:r w:rsidRPr="00C071BE">
              <w:rPr>
                <w:i/>
                <w:szCs w:val="24"/>
                <w:lang w:val="lv-LV"/>
              </w:rPr>
              <w:t xml:space="preserve">Ministru kabineta noteikumu projekta </w:t>
            </w:r>
            <w:r w:rsidR="00260CB5" w:rsidRPr="00C071BE">
              <w:rPr>
                <w:i/>
                <w:szCs w:val="24"/>
                <w:lang w:val="lv-LV"/>
              </w:rPr>
              <w:t>20</w:t>
            </w:r>
            <w:r w:rsidRPr="00C071BE">
              <w:rPr>
                <w:i/>
                <w:szCs w:val="24"/>
                <w:lang w:val="lv-LV"/>
              </w:rPr>
              <w:t>. punkts, 1. pielikums</w:t>
            </w:r>
          </w:p>
        </w:tc>
        <w:tc>
          <w:tcPr>
            <w:tcW w:w="1131" w:type="pct"/>
            <w:tcBorders>
              <w:top w:val="outset" w:sz="6" w:space="0" w:color="auto"/>
              <w:left w:val="outset" w:sz="6" w:space="0" w:color="auto"/>
              <w:bottom w:val="outset" w:sz="6" w:space="0" w:color="auto"/>
              <w:right w:val="outset" w:sz="6" w:space="0" w:color="auto"/>
            </w:tcBorders>
            <w:shd w:val="clear" w:color="auto" w:fill="auto"/>
            <w:hideMark/>
          </w:tcPr>
          <w:p w:rsidR="00340C6E" w:rsidRPr="00340C6E" w:rsidRDefault="00340C6E" w:rsidP="0087512B">
            <w:pPr>
              <w:pStyle w:val="naisf"/>
              <w:spacing w:before="0" w:after="0"/>
              <w:rPr>
                <w:i/>
                <w:szCs w:val="24"/>
              </w:rPr>
            </w:pPr>
            <w:r w:rsidRPr="00340C6E">
              <w:rPr>
                <w:i/>
                <w:szCs w:val="24"/>
              </w:rPr>
              <w:t>ieviesta pilnībā</w:t>
            </w:r>
          </w:p>
        </w:tc>
        <w:tc>
          <w:tcPr>
            <w:tcW w:w="2048" w:type="pct"/>
            <w:tcBorders>
              <w:top w:val="outset" w:sz="6" w:space="0" w:color="auto"/>
              <w:left w:val="outset" w:sz="6" w:space="0" w:color="auto"/>
              <w:bottom w:val="outset" w:sz="6" w:space="0" w:color="auto"/>
              <w:right w:val="outset" w:sz="6" w:space="0" w:color="auto"/>
            </w:tcBorders>
            <w:shd w:val="clear" w:color="auto" w:fill="auto"/>
            <w:hideMark/>
          </w:tcPr>
          <w:p w:rsidR="00340C6E" w:rsidRPr="00340C6E" w:rsidRDefault="00340C6E" w:rsidP="0087512B">
            <w:pPr>
              <w:pStyle w:val="naisf"/>
              <w:spacing w:before="0" w:after="0"/>
              <w:rPr>
                <w:i/>
                <w:szCs w:val="24"/>
              </w:rPr>
            </w:pPr>
            <w:r w:rsidRPr="00340C6E">
              <w:rPr>
                <w:i/>
                <w:szCs w:val="24"/>
              </w:rPr>
              <w:t>neparedz stingrākas prasības</w:t>
            </w:r>
          </w:p>
        </w:tc>
      </w:tr>
      <w:tr w:rsidR="00DB2F24" w:rsidRPr="001F10BC" w:rsidTr="0085498B">
        <w:trPr>
          <w:trHeight w:val="479"/>
          <w:tblCellSpacing w:w="15" w:type="dxa"/>
        </w:trPr>
        <w:tc>
          <w:tcPr>
            <w:tcW w:w="990" w:type="pct"/>
            <w:tcBorders>
              <w:top w:val="outset" w:sz="6" w:space="0" w:color="auto"/>
              <w:left w:val="outset" w:sz="6" w:space="0" w:color="auto"/>
              <w:bottom w:val="outset" w:sz="6" w:space="0" w:color="auto"/>
              <w:right w:val="outset" w:sz="6" w:space="0" w:color="auto"/>
            </w:tcBorders>
            <w:shd w:val="clear" w:color="auto" w:fill="auto"/>
            <w:hideMark/>
          </w:tcPr>
          <w:p w:rsidR="00DB2F24" w:rsidRPr="00C071BE" w:rsidRDefault="00DB2F24" w:rsidP="00DB2F24">
            <w:pPr>
              <w:pStyle w:val="naisf"/>
              <w:tabs>
                <w:tab w:val="left" w:pos="0"/>
                <w:tab w:val="num" w:pos="795"/>
              </w:tabs>
              <w:spacing w:before="0" w:after="0"/>
              <w:rPr>
                <w:i/>
                <w:szCs w:val="24"/>
              </w:rPr>
            </w:pPr>
            <w:r w:rsidRPr="00C071BE">
              <w:rPr>
                <w:i/>
                <w:szCs w:val="24"/>
              </w:rPr>
              <w:t>Komisijas Regulas Nr.1998/2006 2.panta 2.punkts;</w:t>
            </w:r>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DB2F24" w:rsidRPr="00C071BE" w:rsidRDefault="00C1277A" w:rsidP="0085498B">
            <w:pPr>
              <w:jc w:val="both"/>
              <w:rPr>
                <w:i/>
                <w:lang w:val="lv-LV"/>
              </w:rPr>
            </w:pPr>
            <w:r w:rsidRPr="00C071BE">
              <w:rPr>
                <w:i/>
                <w:lang w:val="lv-LV"/>
              </w:rPr>
              <w:t xml:space="preserve">Ministru kabineta noteikumu projekta </w:t>
            </w:r>
            <w:r w:rsidR="003051A4" w:rsidRPr="00C071BE">
              <w:rPr>
                <w:i/>
                <w:lang w:val="lv-LV"/>
              </w:rPr>
              <w:t xml:space="preserve">17., </w:t>
            </w:r>
            <w:r w:rsidRPr="00C071BE">
              <w:rPr>
                <w:i/>
                <w:lang w:val="lv-LV"/>
              </w:rPr>
              <w:t>1</w:t>
            </w:r>
            <w:r w:rsidR="00260CB5" w:rsidRPr="00C071BE">
              <w:rPr>
                <w:i/>
                <w:lang w:val="lv-LV"/>
              </w:rPr>
              <w:t>9</w:t>
            </w:r>
            <w:r w:rsidRPr="00C071BE">
              <w:rPr>
                <w:i/>
                <w:lang w:val="lv-LV"/>
              </w:rPr>
              <w:t>.</w:t>
            </w:r>
            <w:r w:rsidR="003051A4" w:rsidRPr="00C071BE">
              <w:rPr>
                <w:i/>
                <w:lang w:val="lv-LV"/>
              </w:rPr>
              <w:t>,</w:t>
            </w:r>
            <w:r w:rsidR="00912253" w:rsidRPr="00C071BE">
              <w:rPr>
                <w:i/>
                <w:lang w:val="lv-LV"/>
              </w:rPr>
              <w:t>3</w:t>
            </w:r>
            <w:r w:rsidR="005631A6" w:rsidRPr="00C071BE">
              <w:rPr>
                <w:i/>
                <w:lang w:val="lv-LV"/>
              </w:rPr>
              <w:t>2</w:t>
            </w:r>
            <w:r w:rsidR="00912253" w:rsidRPr="00C071BE">
              <w:rPr>
                <w:i/>
                <w:lang w:val="lv-LV"/>
              </w:rPr>
              <w:t>.,</w:t>
            </w:r>
            <w:r w:rsidR="003051A4" w:rsidRPr="00C071BE">
              <w:rPr>
                <w:i/>
                <w:lang w:val="lv-LV"/>
              </w:rPr>
              <w:t>10</w:t>
            </w:r>
            <w:r w:rsidR="00912253" w:rsidRPr="00C071BE">
              <w:rPr>
                <w:i/>
                <w:lang w:val="lv-LV"/>
              </w:rPr>
              <w:t>7, 11</w:t>
            </w:r>
            <w:r w:rsidR="005631A6" w:rsidRPr="00C071BE">
              <w:rPr>
                <w:i/>
                <w:lang w:val="lv-LV"/>
              </w:rPr>
              <w:t>8</w:t>
            </w:r>
            <w:r w:rsidR="00912253" w:rsidRPr="00C071BE">
              <w:rPr>
                <w:i/>
                <w:lang w:val="lv-LV"/>
              </w:rPr>
              <w:t>.</w:t>
            </w:r>
            <w:r w:rsidRPr="00C071BE">
              <w:rPr>
                <w:i/>
                <w:lang w:val="lv-LV"/>
              </w:rPr>
              <w:t xml:space="preserve"> </w:t>
            </w:r>
            <w:r w:rsidR="00912253" w:rsidRPr="00C071BE">
              <w:rPr>
                <w:i/>
                <w:lang w:val="lv-LV"/>
              </w:rPr>
              <w:t>p</w:t>
            </w:r>
            <w:r w:rsidRPr="00C071BE">
              <w:rPr>
                <w:i/>
                <w:lang w:val="lv-LV"/>
              </w:rPr>
              <w:t>unkts</w:t>
            </w:r>
            <w:r w:rsidR="00912253" w:rsidRPr="00C071BE">
              <w:rPr>
                <w:i/>
                <w:lang w:val="lv-LV"/>
              </w:rPr>
              <w:t>, 5</w:t>
            </w:r>
            <w:r w:rsidR="005631A6" w:rsidRPr="00C071BE">
              <w:rPr>
                <w:i/>
                <w:lang w:val="lv-LV"/>
              </w:rPr>
              <w:t>7</w:t>
            </w:r>
            <w:r w:rsidR="00912253" w:rsidRPr="00C071BE">
              <w:rPr>
                <w:i/>
                <w:lang w:val="lv-LV"/>
              </w:rPr>
              <w:t xml:space="preserve">.3.5., </w:t>
            </w:r>
            <w:r w:rsidR="00912253" w:rsidRPr="00C071BE">
              <w:rPr>
                <w:i/>
                <w:lang w:val="lv-LV"/>
              </w:rPr>
              <w:lastRenderedPageBreak/>
              <w:t>14</w:t>
            </w:r>
            <w:r w:rsidR="005631A6" w:rsidRPr="00C071BE">
              <w:rPr>
                <w:i/>
                <w:lang w:val="lv-LV"/>
              </w:rPr>
              <w:t>1</w:t>
            </w:r>
            <w:r w:rsidR="00912253" w:rsidRPr="00C071BE">
              <w:rPr>
                <w:i/>
                <w:lang w:val="lv-LV"/>
              </w:rPr>
              <w:t>.4.,</w:t>
            </w:r>
            <w:r w:rsidR="005631A6" w:rsidRPr="00C071BE">
              <w:rPr>
                <w:i/>
                <w:lang w:val="lv-LV"/>
              </w:rPr>
              <w:t>141.6.,141.7</w:t>
            </w:r>
            <w:r w:rsidR="0085498B" w:rsidRPr="00C071BE">
              <w:rPr>
                <w:i/>
                <w:lang w:val="lv-LV"/>
              </w:rPr>
              <w:t>.apak-</w:t>
            </w:r>
            <w:r w:rsidR="00912253" w:rsidRPr="00C071BE">
              <w:rPr>
                <w:i/>
                <w:lang w:val="lv-LV"/>
              </w:rPr>
              <w:t>punkts</w:t>
            </w:r>
          </w:p>
        </w:tc>
        <w:tc>
          <w:tcPr>
            <w:tcW w:w="1131" w:type="pct"/>
            <w:tcBorders>
              <w:top w:val="outset" w:sz="6" w:space="0" w:color="auto"/>
              <w:left w:val="outset" w:sz="6" w:space="0" w:color="auto"/>
              <w:bottom w:val="outset" w:sz="6" w:space="0" w:color="auto"/>
              <w:right w:val="outset" w:sz="6" w:space="0" w:color="auto"/>
            </w:tcBorders>
            <w:shd w:val="clear" w:color="auto" w:fill="auto"/>
            <w:hideMark/>
          </w:tcPr>
          <w:p w:rsidR="00DB2F24" w:rsidRPr="00C071BE" w:rsidRDefault="00DB2F24" w:rsidP="00002692">
            <w:pPr>
              <w:pStyle w:val="naisf"/>
              <w:spacing w:before="0" w:after="0"/>
              <w:rPr>
                <w:i/>
                <w:szCs w:val="24"/>
              </w:rPr>
            </w:pPr>
            <w:r w:rsidRPr="00C071BE">
              <w:rPr>
                <w:i/>
                <w:szCs w:val="24"/>
              </w:rPr>
              <w:lastRenderedPageBreak/>
              <w:t>ieviesta pilnībā</w:t>
            </w:r>
          </w:p>
        </w:tc>
        <w:tc>
          <w:tcPr>
            <w:tcW w:w="2048" w:type="pct"/>
            <w:tcBorders>
              <w:top w:val="outset" w:sz="6" w:space="0" w:color="auto"/>
              <w:left w:val="outset" w:sz="6" w:space="0" w:color="auto"/>
              <w:bottom w:val="outset" w:sz="6" w:space="0" w:color="auto"/>
              <w:right w:val="outset" w:sz="6" w:space="0" w:color="auto"/>
            </w:tcBorders>
            <w:shd w:val="clear" w:color="auto" w:fill="auto"/>
            <w:hideMark/>
          </w:tcPr>
          <w:p w:rsidR="00DB2F24" w:rsidRPr="00C071BE" w:rsidRDefault="00DB2F24" w:rsidP="00002692">
            <w:pPr>
              <w:pStyle w:val="naisf"/>
              <w:spacing w:before="0" w:after="0"/>
              <w:rPr>
                <w:i/>
                <w:szCs w:val="24"/>
              </w:rPr>
            </w:pPr>
            <w:r w:rsidRPr="00C071BE">
              <w:rPr>
                <w:i/>
                <w:szCs w:val="24"/>
              </w:rPr>
              <w:t>neparedz stingrākas prasības</w:t>
            </w:r>
          </w:p>
        </w:tc>
      </w:tr>
      <w:tr w:rsidR="00260CB5" w:rsidRPr="00C1277A" w:rsidTr="0085498B">
        <w:trPr>
          <w:trHeight w:val="479"/>
          <w:tblCellSpacing w:w="15" w:type="dxa"/>
        </w:trPr>
        <w:tc>
          <w:tcPr>
            <w:tcW w:w="990" w:type="pct"/>
            <w:tcBorders>
              <w:top w:val="outset" w:sz="6" w:space="0" w:color="auto"/>
              <w:left w:val="outset" w:sz="6" w:space="0" w:color="auto"/>
              <w:bottom w:val="outset" w:sz="6" w:space="0" w:color="auto"/>
              <w:right w:val="outset" w:sz="6" w:space="0" w:color="auto"/>
            </w:tcBorders>
            <w:shd w:val="clear" w:color="auto" w:fill="auto"/>
          </w:tcPr>
          <w:p w:rsidR="00260CB5" w:rsidRPr="00C071BE" w:rsidRDefault="00260CB5" w:rsidP="00260CB5">
            <w:pPr>
              <w:pStyle w:val="naisf"/>
              <w:tabs>
                <w:tab w:val="left" w:pos="0"/>
                <w:tab w:val="num" w:pos="795"/>
              </w:tabs>
              <w:rPr>
                <w:i/>
              </w:rPr>
            </w:pPr>
            <w:r w:rsidRPr="00C071BE">
              <w:rPr>
                <w:i/>
              </w:rPr>
              <w:lastRenderedPageBreak/>
              <w:t xml:space="preserve">Komisijas Regula </w:t>
            </w:r>
            <w:proofErr w:type="spellStart"/>
            <w:r w:rsidRPr="00C071BE">
              <w:rPr>
                <w:i/>
              </w:rPr>
              <w:t>Nr</w:t>
            </w:r>
            <w:proofErr w:type="spellEnd"/>
            <w:r w:rsidRPr="00C071BE">
              <w:rPr>
                <w:i/>
              </w:rPr>
              <w:t>. 800/2008</w:t>
            </w:r>
          </w:p>
          <w:p w:rsidR="00260CB5" w:rsidRPr="00C071BE" w:rsidRDefault="00260CB5" w:rsidP="00260CB5">
            <w:pPr>
              <w:pStyle w:val="naisf"/>
              <w:tabs>
                <w:tab w:val="left" w:pos="0"/>
                <w:tab w:val="num" w:pos="795"/>
              </w:tabs>
              <w:spacing w:before="0" w:after="0"/>
              <w:rPr>
                <w:i/>
              </w:rPr>
            </w:pPr>
            <w:r w:rsidRPr="00C071BE">
              <w:rPr>
                <w:i/>
              </w:rPr>
              <w:t>1.panta 7.punkts</w:t>
            </w:r>
          </w:p>
        </w:tc>
        <w:tc>
          <w:tcPr>
            <w:tcW w:w="750" w:type="pct"/>
            <w:tcBorders>
              <w:top w:val="outset" w:sz="6" w:space="0" w:color="auto"/>
              <w:left w:val="outset" w:sz="6" w:space="0" w:color="auto"/>
              <w:bottom w:val="outset" w:sz="6" w:space="0" w:color="auto"/>
              <w:right w:val="outset" w:sz="6" w:space="0" w:color="auto"/>
            </w:tcBorders>
            <w:shd w:val="clear" w:color="auto" w:fill="auto"/>
          </w:tcPr>
          <w:p w:rsidR="00260CB5" w:rsidRPr="00C071BE" w:rsidRDefault="00260CB5" w:rsidP="0085498B">
            <w:pPr>
              <w:jc w:val="both"/>
              <w:rPr>
                <w:i/>
                <w:lang w:val="lv-LV"/>
              </w:rPr>
            </w:pPr>
            <w:r w:rsidRPr="00C071BE">
              <w:rPr>
                <w:i/>
                <w:lang w:val="lv-LV"/>
              </w:rPr>
              <w:t>Ministru kabineta noteikumu projekta 2</w:t>
            </w:r>
            <w:r w:rsidR="0085498B" w:rsidRPr="00C071BE">
              <w:rPr>
                <w:i/>
                <w:lang w:val="lv-LV"/>
              </w:rPr>
              <w:t>1</w:t>
            </w:r>
            <w:r w:rsidRPr="00C071BE">
              <w:rPr>
                <w:i/>
                <w:lang w:val="lv-LV"/>
              </w:rPr>
              <w:t>.1.apakš-punkts</w:t>
            </w:r>
          </w:p>
        </w:tc>
        <w:tc>
          <w:tcPr>
            <w:tcW w:w="1131" w:type="pct"/>
            <w:tcBorders>
              <w:top w:val="outset" w:sz="6" w:space="0" w:color="auto"/>
              <w:left w:val="outset" w:sz="6" w:space="0" w:color="auto"/>
              <w:bottom w:val="outset" w:sz="6" w:space="0" w:color="auto"/>
              <w:right w:val="outset" w:sz="6" w:space="0" w:color="auto"/>
            </w:tcBorders>
            <w:shd w:val="clear" w:color="auto" w:fill="auto"/>
          </w:tcPr>
          <w:p w:rsidR="00260CB5" w:rsidRPr="00C071BE" w:rsidRDefault="00260CB5" w:rsidP="00F27DD8">
            <w:pPr>
              <w:rPr>
                <w:i/>
              </w:rPr>
            </w:pPr>
            <w:proofErr w:type="spellStart"/>
            <w:r w:rsidRPr="00C071BE">
              <w:rPr>
                <w:i/>
              </w:rPr>
              <w:t>ieviesta</w:t>
            </w:r>
            <w:proofErr w:type="spellEnd"/>
            <w:r w:rsidRPr="00C071BE">
              <w:rPr>
                <w:i/>
              </w:rPr>
              <w:t xml:space="preserve"> </w:t>
            </w:r>
            <w:proofErr w:type="spellStart"/>
            <w:r w:rsidRPr="00C071BE">
              <w:rPr>
                <w:i/>
              </w:rPr>
              <w:t>pilnībā</w:t>
            </w:r>
            <w:proofErr w:type="spellEnd"/>
          </w:p>
        </w:tc>
        <w:tc>
          <w:tcPr>
            <w:tcW w:w="2048" w:type="pct"/>
            <w:tcBorders>
              <w:top w:val="outset" w:sz="6" w:space="0" w:color="auto"/>
              <w:left w:val="outset" w:sz="6" w:space="0" w:color="auto"/>
              <w:bottom w:val="outset" w:sz="6" w:space="0" w:color="auto"/>
              <w:right w:val="outset" w:sz="6" w:space="0" w:color="auto"/>
            </w:tcBorders>
            <w:shd w:val="clear" w:color="auto" w:fill="auto"/>
          </w:tcPr>
          <w:p w:rsidR="00260CB5" w:rsidRPr="00C071BE" w:rsidRDefault="00260CB5" w:rsidP="00F27DD8">
            <w:pPr>
              <w:rPr>
                <w:i/>
              </w:rPr>
            </w:pPr>
            <w:proofErr w:type="spellStart"/>
            <w:r w:rsidRPr="00C071BE">
              <w:rPr>
                <w:i/>
              </w:rPr>
              <w:t>neparedz</w:t>
            </w:r>
            <w:proofErr w:type="spellEnd"/>
            <w:r w:rsidRPr="00C071BE">
              <w:rPr>
                <w:i/>
              </w:rPr>
              <w:t xml:space="preserve"> </w:t>
            </w:r>
            <w:proofErr w:type="spellStart"/>
            <w:r w:rsidRPr="00C071BE">
              <w:rPr>
                <w:i/>
              </w:rPr>
              <w:t>stingrākas</w:t>
            </w:r>
            <w:proofErr w:type="spellEnd"/>
            <w:r w:rsidRPr="00C071BE">
              <w:rPr>
                <w:i/>
              </w:rPr>
              <w:t xml:space="preserve"> </w:t>
            </w:r>
            <w:proofErr w:type="spellStart"/>
            <w:r w:rsidRPr="00C071BE">
              <w:rPr>
                <w:i/>
              </w:rPr>
              <w:t>prasības</w:t>
            </w:r>
            <w:proofErr w:type="spellEnd"/>
          </w:p>
        </w:tc>
      </w:tr>
      <w:tr w:rsidR="00260CB5" w:rsidRPr="00892D58" w:rsidTr="0085498B">
        <w:trPr>
          <w:trHeight w:val="479"/>
          <w:tblCellSpacing w:w="15" w:type="dxa"/>
        </w:trPr>
        <w:tc>
          <w:tcPr>
            <w:tcW w:w="990" w:type="pct"/>
            <w:tcBorders>
              <w:top w:val="outset" w:sz="6" w:space="0" w:color="auto"/>
              <w:left w:val="outset" w:sz="6" w:space="0" w:color="auto"/>
              <w:bottom w:val="outset" w:sz="6" w:space="0" w:color="auto"/>
              <w:right w:val="outset" w:sz="6" w:space="0" w:color="auto"/>
            </w:tcBorders>
            <w:shd w:val="clear" w:color="auto" w:fill="auto"/>
          </w:tcPr>
          <w:p w:rsidR="008E41BA" w:rsidRPr="00C071BE" w:rsidRDefault="008E41BA" w:rsidP="008E41BA">
            <w:pPr>
              <w:pStyle w:val="naisf"/>
              <w:tabs>
                <w:tab w:val="left" w:pos="0"/>
                <w:tab w:val="num" w:pos="795"/>
              </w:tabs>
              <w:rPr>
                <w:i/>
              </w:rPr>
            </w:pPr>
            <w:r w:rsidRPr="00C071BE">
              <w:rPr>
                <w:i/>
              </w:rPr>
              <w:t xml:space="preserve">Komisijas Regula </w:t>
            </w:r>
            <w:proofErr w:type="spellStart"/>
            <w:r w:rsidRPr="00C071BE">
              <w:rPr>
                <w:i/>
              </w:rPr>
              <w:t>Nr</w:t>
            </w:r>
            <w:proofErr w:type="spellEnd"/>
            <w:r w:rsidRPr="00C071BE">
              <w:rPr>
                <w:i/>
              </w:rPr>
              <w:t>. 800/2008</w:t>
            </w:r>
          </w:p>
          <w:p w:rsidR="00260CB5" w:rsidRPr="00C071BE" w:rsidRDefault="008E41BA" w:rsidP="008E41BA">
            <w:pPr>
              <w:pStyle w:val="naisf"/>
              <w:tabs>
                <w:tab w:val="left" w:pos="0"/>
                <w:tab w:val="num" w:pos="795"/>
              </w:tabs>
              <w:spacing w:before="0" w:after="0"/>
              <w:rPr>
                <w:i/>
              </w:rPr>
            </w:pPr>
            <w:r w:rsidRPr="00C071BE">
              <w:rPr>
                <w:i/>
              </w:rPr>
              <w:t>2.pants</w:t>
            </w:r>
          </w:p>
        </w:tc>
        <w:tc>
          <w:tcPr>
            <w:tcW w:w="750" w:type="pct"/>
            <w:tcBorders>
              <w:top w:val="outset" w:sz="6" w:space="0" w:color="auto"/>
              <w:left w:val="outset" w:sz="6" w:space="0" w:color="auto"/>
              <w:bottom w:val="outset" w:sz="6" w:space="0" w:color="auto"/>
              <w:right w:val="outset" w:sz="6" w:space="0" w:color="auto"/>
            </w:tcBorders>
            <w:shd w:val="clear" w:color="auto" w:fill="auto"/>
          </w:tcPr>
          <w:p w:rsidR="00260CB5" w:rsidRPr="00C071BE" w:rsidRDefault="000A53B5" w:rsidP="000A53B5">
            <w:pPr>
              <w:jc w:val="both"/>
              <w:rPr>
                <w:i/>
                <w:lang w:val="lv-LV"/>
              </w:rPr>
            </w:pPr>
            <w:r w:rsidRPr="00C071BE">
              <w:rPr>
                <w:i/>
                <w:lang w:val="lv-LV"/>
              </w:rPr>
              <w:t>6</w:t>
            </w:r>
            <w:r w:rsidR="008E41BA" w:rsidRPr="00C071BE">
              <w:rPr>
                <w:i/>
                <w:lang w:val="lv-LV"/>
              </w:rPr>
              <w:t xml:space="preserve">.pielikuma 2.5. punkts, </w:t>
            </w:r>
            <w:r w:rsidRPr="00C071BE">
              <w:rPr>
                <w:i/>
                <w:lang w:val="lv-LV"/>
              </w:rPr>
              <w:t>5</w:t>
            </w:r>
            <w:r w:rsidR="008E41BA" w:rsidRPr="00C071BE">
              <w:rPr>
                <w:i/>
                <w:lang w:val="lv-LV"/>
              </w:rPr>
              <w:t xml:space="preserve">.pielikuma II sadaļas „Kvalitātes vērtēšanas kritēriji” 8.1.punkts </w:t>
            </w:r>
          </w:p>
        </w:tc>
        <w:tc>
          <w:tcPr>
            <w:tcW w:w="1131" w:type="pct"/>
            <w:tcBorders>
              <w:top w:val="outset" w:sz="6" w:space="0" w:color="auto"/>
              <w:left w:val="outset" w:sz="6" w:space="0" w:color="auto"/>
              <w:bottom w:val="outset" w:sz="6" w:space="0" w:color="auto"/>
              <w:right w:val="outset" w:sz="6" w:space="0" w:color="auto"/>
            </w:tcBorders>
            <w:shd w:val="clear" w:color="auto" w:fill="auto"/>
          </w:tcPr>
          <w:p w:rsidR="00260CB5" w:rsidRPr="00C071BE" w:rsidRDefault="00260CB5" w:rsidP="00F27DD8">
            <w:pPr>
              <w:rPr>
                <w:i/>
              </w:rPr>
            </w:pPr>
            <w:proofErr w:type="spellStart"/>
            <w:r w:rsidRPr="00C071BE">
              <w:rPr>
                <w:i/>
              </w:rPr>
              <w:t>ieviesta</w:t>
            </w:r>
            <w:proofErr w:type="spellEnd"/>
            <w:r w:rsidRPr="00C071BE">
              <w:rPr>
                <w:i/>
              </w:rPr>
              <w:t xml:space="preserve"> </w:t>
            </w:r>
            <w:proofErr w:type="spellStart"/>
            <w:r w:rsidRPr="00C071BE">
              <w:rPr>
                <w:i/>
              </w:rPr>
              <w:t>pilnībā</w:t>
            </w:r>
            <w:proofErr w:type="spellEnd"/>
          </w:p>
        </w:tc>
        <w:tc>
          <w:tcPr>
            <w:tcW w:w="2048" w:type="pct"/>
            <w:tcBorders>
              <w:top w:val="outset" w:sz="6" w:space="0" w:color="auto"/>
              <w:left w:val="outset" w:sz="6" w:space="0" w:color="auto"/>
              <w:bottom w:val="outset" w:sz="6" w:space="0" w:color="auto"/>
              <w:right w:val="outset" w:sz="6" w:space="0" w:color="auto"/>
            </w:tcBorders>
            <w:shd w:val="clear" w:color="auto" w:fill="auto"/>
          </w:tcPr>
          <w:p w:rsidR="00260CB5" w:rsidRPr="00C071BE" w:rsidRDefault="00260CB5" w:rsidP="00F27DD8">
            <w:pPr>
              <w:rPr>
                <w:i/>
              </w:rPr>
            </w:pPr>
            <w:proofErr w:type="spellStart"/>
            <w:r w:rsidRPr="00C071BE">
              <w:rPr>
                <w:i/>
              </w:rPr>
              <w:t>neparedz</w:t>
            </w:r>
            <w:proofErr w:type="spellEnd"/>
            <w:r w:rsidRPr="00C071BE">
              <w:rPr>
                <w:i/>
              </w:rPr>
              <w:t xml:space="preserve"> </w:t>
            </w:r>
            <w:proofErr w:type="spellStart"/>
            <w:r w:rsidRPr="00C071BE">
              <w:rPr>
                <w:i/>
              </w:rPr>
              <w:t>stingrākas</w:t>
            </w:r>
            <w:proofErr w:type="spellEnd"/>
            <w:r w:rsidRPr="00C071BE">
              <w:rPr>
                <w:i/>
              </w:rPr>
              <w:t xml:space="preserve"> </w:t>
            </w:r>
            <w:proofErr w:type="spellStart"/>
            <w:r w:rsidRPr="00C071BE">
              <w:rPr>
                <w:i/>
              </w:rPr>
              <w:t>prasības</w:t>
            </w:r>
            <w:proofErr w:type="spellEnd"/>
          </w:p>
        </w:tc>
      </w:tr>
      <w:tr w:rsidR="00DB2F24" w:rsidRPr="00C1277A" w:rsidTr="0085498B">
        <w:trPr>
          <w:trHeight w:val="479"/>
          <w:tblCellSpacing w:w="15" w:type="dxa"/>
        </w:trPr>
        <w:tc>
          <w:tcPr>
            <w:tcW w:w="990" w:type="pct"/>
            <w:tcBorders>
              <w:top w:val="outset" w:sz="6" w:space="0" w:color="auto"/>
              <w:left w:val="outset" w:sz="6" w:space="0" w:color="auto"/>
              <w:bottom w:val="outset" w:sz="6" w:space="0" w:color="auto"/>
              <w:right w:val="outset" w:sz="6" w:space="0" w:color="auto"/>
            </w:tcBorders>
            <w:shd w:val="clear" w:color="auto" w:fill="auto"/>
            <w:hideMark/>
          </w:tcPr>
          <w:p w:rsidR="00DB2F24" w:rsidRPr="00C071BE" w:rsidRDefault="00DB2F24" w:rsidP="00DB2F24">
            <w:pPr>
              <w:pStyle w:val="naisf"/>
              <w:tabs>
                <w:tab w:val="left" w:pos="0"/>
                <w:tab w:val="num" w:pos="795"/>
              </w:tabs>
              <w:spacing w:before="0" w:after="0"/>
              <w:rPr>
                <w:i/>
                <w:szCs w:val="24"/>
              </w:rPr>
            </w:pPr>
            <w:r w:rsidRPr="00C071BE">
              <w:rPr>
                <w:i/>
              </w:rPr>
              <w:t xml:space="preserve">Valstu reģionālā atbalsta pamatnostādnes 2007. — 2013.gadam </w:t>
            </w:r>
            <w:r w:rsidR="00A540FF" w:rsidRPr="00C071BE">
              <w:rPr>
                <w:i/>
              </w:rPr>
              <w:t>4.nodaļa</w:t>
            </w:r>
          </w:p>
        </w:tc>
        <w:tc>
          <w:tcPr>
            <w:tcW w:w="750" w:type="pct"/>
            <w:tcBorders>
              <w:top w:val="outset" w:sz="6" w:space="0" w:color="auto"/>
              <w:left w:val="outset" w:sz="6" w:space="0" w:color="auto"/>
              <w:bottom w:val="outset" w:sz="6" w:space="0" w:color="auto"/>
              <w:right w:val="outset" w:sz="6" w:space="0" w:color="auto"/>
            </w:tcBorders>
            <w:shd w:val="clear" w:color="auto" w:fill="auto"/>
          </w:tcPr>
          <w:p w:rsidR="00DB2F24" w:rsidRPr="00C071BE" w:rsidRDefault="00C1277A" w:rsidP="000A53B5">
            <w:pPr>
              <w:jc w:val="both"/>
              <w:rPr>
                <w:i/>
                <w:lang w:val="lv-LV"/>
              </w:rPr>
            </w:pPr>
            <w:r w:rsidRPr="00C071BE">
              <w:rPr>
                <w:i/>
                <w:lang w:val="lv-LV"/>
              </w:rPr>
              <w:t>Ministru kabineta noteikumu projek</w:t>
            </w:r>
            <w:r w:rsidR="0085498B" w:rsidRPr="00C071BE">
              <w:rPr>
                <w:i/>
                <w:lang w:val="lv-LV"/>
              </w:rPr>
              <w:t>ta 45.4. apakšpunkts,4</w:t>
            </w:r>
            <w:r w:rsidR="000A53B5" w:rsidRPr="00C071BE">
              <w:rPr>
                <w:i/>
                <w:lang w:val="lv-LV"/>
              </w:rPr>
              <w:t>7</w:t>
            </w:r>
            <w:r w:rsidR="0085498B" w:rsidRPr="00C071BE">
              <w:rPr>
                <w:i/>
                <w:lang w:val="lv-LV"/>
              </w:rPr>
              <w:t>.punkts</w:t>
            </w:r>
          </w:p>
        </w:tc>
        <w:tc>
          <w:tcPr>
            <w:tcW w:w="1131" w:type="pct"/>
            <w:tcBorders>
              <w:top w:val="outset" w:sz="6" w:space="0" w:color="auto"/>
              <w:left w:val="outset" w:sz="6" w:space="0" w:color="auto"/>
              <w:bottom w:val="outset" w:sz="6" w:space="0" w:color="auto"/>
              <w:right w:val="outset" w:sz="6" w:space="0" w:color="auto"/>
            </w:tcBorders>
            <w:shd w:val="clear" w:color="auto" w:fill="auto"/>
            <w:hideMark/>
          </w:tcPr>
          <w:p w:rsidR="00DB2F24" w:rsidRPr="00340C6E" w:rsidRDefault="00DB2F24" w:rsidP="00002692">
            <w:pPr>
              <w:pStyle w:val="naisf"/>
              <w:spacing w:before="0" w:after="0"/>
              <w:rPr>
                <w:i/>
                <w:szCs w:val="24"/>
              </w:rPr>
            </w:pPr>
            <w:r w:rsidRPr="00340C6E">
              <w:rPr>
                <w:i/>
                <w:szCs w:val="24"/>
              </w:rPr>
              <w:t>ieviesta pilnībā</w:t>
            </w:r>
          </w:p>
        </w:tc>
        <w:tc>
          <w:tcPr>
            <w:tcW w:w="2048" w:type="pct"/>
            <w:tcBorders>
              <w:top w:val="outset" w:sz="6" w:space="0" w:color="auto"/>
              <w:left w:val="outset" w:sz="6" w:space="0" w:color="auto"/>
              <w:bottom w:val="outset" w:sz="6" w:space="0" w:color="auto"/>
              <w:right w:val="outset" w:sz="6" w:space="0" w:color="auto"/>
            </w:tcBorders>
            <w:shd w:val="clear" w:color="auto" w:fill="auto"/>
            <w:hideMark/>
          </w:tcPr>
          <w:p w:rsidR="00DB2F24" w:rsidRPr="00340C6E" w:rsidRDefault="00DB2F24" w:rsidP="00002692">
            <w:pPr>
              <w:pStyle w:val="naisf"/>
              <w:spacing w:before="0" w:after="0"/>
              <w:rPr>
                <w:i/>
                <w:szCs w:val="24"/>
              </w:rPr>
            </w:pPr>
            <w:r w:rsidRPr="00340C6E">
              <w:rPr>
                <w:i/>
                <w:szCs w:val="24"/>
              </w:rPr>
              <w:t>neparedz stingrākas prasības</w:t>
            </w:r>
          </w:p>
        </w:tc>
      </w:tr>
      <w:tr w:rsidR="00A540FF" w:rsidRPr="00C1277A" w:rsidTr="0085498B">
        <w:trPr>
          <w:trHeight w:val="479"/>
          <w:tblCellSpacing w:w="15" w:type="dxa"/>
        </w:trPr>
        <w:tc>
          <w:tcPr>
            <w:tcW w:w="990" w:type="pct"/>
            <w:tcBorders>
              <w:top w:val="outset" w:sz="6" w:space="0" w:color="auto"/>
              <w:left w:val="outset" w:sz="6" w:space="0" w:color="auto"/>
              <w:bottom w:val="outset" w:sz="6" w:space="0" w:color="auto"/>
              <w:right w:val="outset" w:sz="6" w:space="0" w:color="auto"/>
            </w:tcBorders>
            <w:shd w:val="clear" w:color="auto" w:fill="auto"/>
            <w:hideMark/>
          </w:tcPr>
          <w:p w:rsidR="00A540FF" w:rsidRPr="00C071BE" w:rsidRDefault="00A540FF" w:rsidP="00A540FF">
            <w:pPr>
              <w:pStyle w:val="naisf"/>
              <w:tabs>
                <w:tab w:val="left" w:pos="0"/>
                <w:tab w:val="num" w:pos="795"/>
              </w:tabs>
              <w:spacing w:before="0" w:after="0"/>
              <w:rPr>
                <w:i/>
              </w:rPr>
            </w:pPr>
            <w:r w:rsidRPr="00C071BE">
              <w:rPr>
                <w:i/>
              </w:rPr>
              <w:t>Valstu reģionālā atbalsta pamatnostādnes 2007. — 2013.gadam 4.2.pants 50.punkts</w:t>
            </w:r>
          </w:p>
        </w:tc>
        <w:tc>
          <w:tcPr>
            <w:tcW w:w="750" w:type="pct"/>
            <w:tcBorders>
              <w:top w:val="outset" w:sz="6" w:space="0" w:color="auto"/>
              <w:left w:val="outset" w:sz="6" w:space="0" w:color="auto"/>
              <w:bottom w:val="outset" w:sz="6" w:space="0" w:color="auto"/>
              <w:right w:val="outset" w:sz="6" w:space="0" w:color="auto"/>
            </w:tcBorders>
            <w:shd w:val="clear" w:color="auto" w:fill="auto"/>
          </w:tcPr>
          <w:p w:rsidR="00A540FF" w:rsidRPr="00C071BE" w:rsidRDefault="00C1277A" w:rsidP="0085498B">
            <w:pPr>
              <w:jc w:val="both"/>
              <w:rPr>
                <w:i/>
                <w:lang w:val="lv-LV"/>
              </w:rPr>
            </w:pPr>
            <w:r w:rsidRPr="00C071BE">
              <w:rPr>
                <w:i/>
                <w:lang w:val="lv-LV"/>
              </w:rPr>
              <w:t>Ministru kabineta noteikumu projekta 4</w:t>
            </w:r>
            <w:r w:rsidR="0085498B" w:rsidRPr="00C071BE">
              <w:rPr>
                <w:i/>
                <w:lang w:val="lv-LV"/>
              </w:rPr>
              <w:t>5</w:t>
            </w:r>
            <w:r w:rsidRPr="00C071BE">
              <w:rPr>
                <w:i/>
                <w:lang w:val="lv-LV"/>
              </w:rPr>
              <w:t>.4. apakšpunkts, 4</w:t>
            </w:r>
            <w:r w:rsidR="0085498B" w:rsidRPr="00C071BE">
              <w:rPr>
                <w:i/>
                <w:lang w:val="lv-LV"/>
              </w:rPr>
              <w:t>7</w:t>
            </w:r>
            <w:r w:rsidRPr="00C071BE">
              <w:rPr>
                <w:i/>
                <w:lang w:val="lv-LV"/>
              </w:rPr>
              <w:t xml:space="preserve">.punkts </w:t>
            </w:r>
          </w:p>
        </w:tc>
        <w:tc>
          <w:tcPr>
            <w:tcW w:w="1131" w:type="pct"/>
            <w:tcBorders>
              <w:top w:val="outset" w:sz="6" w:space="0" w:color="auto"/>
              <w:left w:val="outset" w:sz="6" w:space="0" w:color="auto"/>
              <w:bottom w:val="outset" w:sz="6" w:space="0" w:color="auto"/>
              <w:right w:val="outset" w:sz="6" w:space="0" w:color="auto"/>
            </w:tcBorders>
            <w:shd w:val="clear" w:color="auto" w:fill="auto"/>
            <w:hideMark/>
          </w:tcPr>
          <w:p w:rsidR="00A540FF" w:rsidRPr="00340C6E" w:rsidRDefault="00A540FF" w:rsidP="00002692">
            <w:pPr>
              <w:pStyle w:val="naisf"/>
              <w:spacing w:before="0" w:after="0"/>
              <w:rPr>
                <w:i/>
                <w:szCs w:val="24"/>
              </w:rPr>
            </w:pPr>
            <w:r w:rsidRPr="00340C6E">
              <w:rPr>
                <w:i/>
                <w:szCs w:val="24"/>
              </w:rPr>
              <w:t>ieviesta pilnībā</w:t>
            </w:r>
          </w:p>
        </w:tc>
        <w:tc>
          <w:tcPr>
            <w:tcW w:w="2048" w:type="pct"/>
            <w:tcBorders>
              <w:top w:val="outset" w:sz="6" w:space="0" w:color="auto"/>
              <w:left w:val="outset" w:sz="6" w:space="0" w:color="auto"/>
              <w:bottom w:val="outset" w:sz="6" w:space="0" w:color="auto"/>
              <w:right w:val="outset" w:sz="6" w:space="0" w:color="auto"/>
            </w:tcBorders>
            <w:shd w:val="clear" w:color="auto" w:fill="auto"/>
            <w:hideMark/>
          </w:tcPr>
          <w:p w:rsidR="00A540FF" w:rsidRPr="00340C6E" w:rsidRDefault="00A540FF" w:rsidP="00002692">
            <w:pPr>
              <w:pStyle w:val="naisf"/>
              <w:spacing w:before="0" w:after="0"/>
              <w:rPr>
                <w:i/>
                <w:szCs w:val="24"/>
              </w:rPr>
            </w:pPr>
            <w:r>
              <w:rPr>
                <w:i/>
                <w:szCs w:val="24"/>
              </w:rPr>
              <w:t xml:space="preserve">attiecināmas izmaksas būs rekonstrukcijas darbi un iekārtas </w:t>
            </w:r>
          </w:p>
        </w:tc>
      </w:tr>
      <w:tr w:rsidR="00A540FF" w:rsidRPr="009B7D31" w:rsidTr="0085498B">
        <w:trPr>
          <w:tblCellSpacing w:w="15" w:type="dxa"/>
        </w:trPr>
        <w:tc>
          <w:tcPr>
            <w:tcW w:w="9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540FF" w:rsidRPr="00C071BE" w:rsidRDefault="00A540FF" w:rsidP="0087512B">
            <w:pPr>
              <w:jc w:val="both"/>
              <w:rPr>
                <w:szCs w:val="24"/>
                <w:lang w:val="lv-LV"/>
              </w:rPr>
            </w:pPr>
            <w:r w:rsidRPr="00C071BE">
              <w:rPr>
                <w:szCs w:val="24"/>
                <w:lang w:val="lv-LV"/>
              </w:rPr>
              <w:t>Kā ir izmantota ES tiesību aktā paredzētā rīcības brīvība dalībvalstij pārņemt vai ieviest noteiktas ES tiesību akta normas.</w:t>
            </w:r>
          </w:p>
        </w:tc>
        <w:tc>
          <w:tcPr>
            <w:tcW w:w="3961" w:type="pct"/>
            <w:gridSpan w:val="3"/>
            <w:tcBorders>
              <w:top w:val="outset" w:sz="6" w:space="0" w:color="auto"/>
              <w:left w:val="outset" w:sz="6" w:space="0" w:color="auto"/>
              <w:bottom w:val="outset" w:sz="6" w:space="0" w:color="auto"/>
              <w:right w:val="outset" w:sz="6" w:space="0" w:color="auto"/>
            </w:tcBorders>
            <w:shd w:val="clear" w:color="auto" w:fill="auto"/>
            <w:hideMark/>
          </w:tcPr>
          <w:p w:rsidR="00A540FF" w:rsidRPr="00C071BE" w:rsidRDefault="00A540FF" w:rsidP="00912253">
            <w:pPr>
              <w:jc w:val="both"/>
              <w:rPr>
                <w:iCs/>
                <w:szCs w:val="24"/>
                <w:lang w:val="lv-LV"/>
              </w:rPr>
            </w:pPr>
            <w:r w:rsidRPr="00C071BE">
              <w:rPr>
                <w:iCs/>
                <w:szCs w:val="24"/>
                <w:lang w:val="lv-LV"/>
              </w:rPr>
              <w:t xml:space="preserve">Lai sniegtu </w:t>
            </w:r>
            <w:r w:rsidR="007D561E" w:rsidRPr="00C071BE">
              <w:rPr>
                <w:iCs/>
                <w:szCs w:val="24"/>
                <w:lang w:val="lv-LV"/>
              </w:rPr>
              <w:t>valsts atbalstu,</w:t>
            </w:r>
            <w:r w:rsidRPr="00C071BE">
              <w:rPr>
                <w:iCs/>
                <w:szCs w:val="24"/>
                <w:lang w:val="lv-LV"/>
              </w:rPr>
              <w:t xml:space="preserve"> dalībvalstij ir obligāti jāpiemēro: </w:t>
            </w:r>
          </w:p>
          <w:p w:rsidR="00A540FF" w:rsidRPr="00C071BE" w:rsidRDefault="007D561E" w:rsidP="0087512B">
            <w:pPr>
              <w:pStyle w:val="naiskr"/>
              <w:rPr>
                <w:iCs/>
              </w:rPr>
            </w:pPr>
            <w:r w:rsidRPr="00C071BE">
              <w:t>Komisijas Regula Nr.1998/2006</w:t>
            </w:r>
            <w:r w:rsidR="00A540FF" w:rsidRPr="00C071BE">
              <w:rPr>
                <w:iCs/>
              </w:rPr>
              <w:t>;</w:t>
            </w:r>
          </w:p>
          <w:p w:rsidR="00A540FF" w:rsidRPr="00C071BE" w:rsidRDefault="00A540FF" w:rsidP="0087512B">
            <w:pPr>
              <w:pStyle w:val="naiskr"/>
              <w:rPr>
                <w:iCs/>
              </w:rPr>
            </w:pPr>
            <w:r w:rsidRPr="00C071BE">
              <w:rPr>
                <w:iCs/>
              </w:rPr>
              <w:t>Komisijas Regula Nr.800/2008</w:t>
            </w:r>
            <w:r w:rsidR="00F95943" w:rsidRPr="00C071BE">
              <w:rPr>
                <w:iCs/>
              </w:rPr>
              <w:t>.</w:t>
            </w:r>
          </w:p>
          <w:p w:rsidR="00A540FF" w:rsidRPr="00C071BE" w:rsidRDefault="00A540FF" w:rsidP="00D74A1E">
            <w:pPr>
              <w:pStyle w:val="naiskr"/>
            </w:pPr>
          </w:p>
        </w:tc>
      </w:tr>
      <w:tr w:rsidR="00A540FF" w:rsidRPr="00C040C4" w:rsidTr="0085498B">
        <w:trPr>
          <w:tblCellSpacing w:w="15" w:type="dxa"/>
        </w:trPr>
        <w:tc>
          <w:tcPr>
            <w:tcW w:w="9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540FF" w:rsidRPr="00C071BE" w:rsidRDefault="00A540FF" w:rsidP="0087512B">
            <w:pPr>
              <w:jc w:val="both"/>
              <w:rPr>
                <w:szCs w:val="24"/>
                <w:lang w:val="lv-LV"/>
              </w:rPr>
            </w:pPr>
            <w:r w:rsidRPr="00C071BE">
              <w:rPr>
                <w:szCs w:val="24"/>
                <w:lang w:val="lv-LV"/>
              </w:rPr>
              <w:t xml:space="preserve">Saistības sniegt paziņojumu ES institūcijām un ES dalībvalstīm atbilstoši normatīvajiem aktiem, kas regulē </w:t>
            </w:r>
            <w:r w:rsidRPr="00C071BE">
              <w:rPr>
                <w:szCs w:val="24"/>
                <w:lang w:val="lv-LV"/>
              </w:rPr>
              <w:lastRenderedPageBreak/>
              <w:t>informācijas sniegšanu par tehnisko noteikumu, valsts atbalsta piešķiršanas un finanšu noteikumu (attiecībā uz monetāro politiku) projektiem</w:t>
            </w:r>
          </w:p>
        </w:tc>
        <w:tc>
          <w:tcPr>
            <w:tcW w:w="3961" w:type="pct"/>
            <w:gridSpan w:val="3"/>
            <w:tcBorders>
              <w:top w:val="outset" w:sz="6" w:space="0" w:color="auto"/>
              <w:left w:val="outset" w:sz="6" w:space="0" w:color="auto"/>
              <w:bottom w:val="outset" w:sz="6" w:space="0" w:color="auto"/>
              <w:right w:val="outset" w:sz="6" w:space="0" w:color="auto"/>
            </w:tcBorders>
            <w:shd w:val="clear" w:color="auto" w:fill="auto"/>
            <w:hideMark/>
          </w:tcPr>
          <w:p w:rsidR="007D561E" w:rsidRPr="00C071BE" w:rsidRDefault="007D561E" w:rsidP="00132AFC">
            <w:pPr>
              <w:ind w:firstLine="483"/>
              <w:jc w:val="both"/>
              <w:rPr>
                <w:szCs w:val="24"/>
                <w:lang w:val="lv-LV"/>
              </w:rPr>
            </w:pPr>
            <w:r w:rsidRPr="00C071BE">
              <w:rPr>
                <w:iCs/>
                <w:szCs w:val="24"/>
                <w:lang w:val="lv-LV"/>
              </w:rPr>
              <w:lastRenderedPageBreak/>
              <w:t xml:space="preserve">Paziņojumu Eiropas Komisijai (turpmāk – EK) par valsts atbalstu </w:t>
            </w:r>
            <w:r w:rsidR="00705E54" w:rsidRPr="00C071BE">
              <w:rPr>
                <w:iCs/>
                <w:szCs w:val="24"/>
                <w:lang w:val="lv-LV"/>
              </w:rPr>
              <w:t xml:space="preserve">Zaļo </w:t>
            </w:r>
            <w:r w:rsidRPr="00C071BE">
              <w:rPr>
                <w:iCs/>
                <w:szCs w:val="24"/>
                <w:lang w:val="lv-LV"/>
              </w:rPr>
              <w:t xml:space="preserve">Tehnoloģiju inkubatora rekonstrukcijas darbiem un iekārtu iegādei ir nepieciešams sniegt saskaņā ar </w:t>
            </w:r>
            <w:r w:rsidRPr="00C071BE">
              <w:rPr>
                <w:szCs w:val="24"/>
                <w:lang w:val="lv-LV"/>
              </w:rPr>
              <w:t>Līguma par Eiropas Savienības darbību 108.panta 3.punktu.</w:t>
            </w:r>
          </w:p>
          <w:p w:rsidR="007D561E" w:rsidRPr="00C071BE" w:rsidRDefault="007D561E" w:rsidP="0087512B">
            <w:pPr>
              <w:jc w:val="both"/>
              <w:rPr>
                <w:iCs/>
                <w:szCs w:val="24"/>
                <w:lang w:val="lv-LV"/>
              </w:rPr>
            </w:pPr>
          </w:p>
          <w:p w:rsidR="007D561E" w:rsidRPr="00C071BE" w:rsidRDefault="007D561E" w:rsidP="0087512B">
            <w:pPr>
              <w:jc w:val="both"/>
              <w:rPr>
                <w:iCs/>
                <w:szCs w:val="24"/>
                <w:lang w:val="lv-LV"/>
              </w:rPr>
            </w:pPr>
          </w:p>
          <w:p w:rsidR="007D561E" w:rsidRPr="00C071BE" w:rsidRDefault="000A51F6" w:rsidP="00132AFC">
            <w:pPr>
              <w:ind w:firstLine="483"/>
              <w:jc w:val="both"/>
              <w:rPr>
                <w:iCs/>
                <w:szCs w:val="24"/>
                <w:lang w:val="lv-LV"/>
              </w:rPr>
            </w:pPr>
            <w:r w:rsidRPr="00C071BE">
              <w:rPr>
                <w:iCs/>
                <w:szCs w:val="24"/>
                <w:lang w:val="lv-LV"/>
              </w:rPr>
              <w:t>Paziņojumu par administr</w:t>
            </w:r>
            <w:r w:rsidR="00705E54" w:rsidRPr="00C071BE">
              <w:rPr>
                <w:iCs/>
                <w:szCs w:val="24"/>
                <w:lang w:val="lv-LV"/>
              </w:rPr>
              <w:t xml:space="preserve">atīvajām </w:t>
            </w:r>
            <w:r w:rsidRPr="00C071BE">
              <w:rPr>
                <w:iCs/>
                <w:szCs w:val="24"/>
                <w:lang w:val="lv-LV"/>
              </w:rPr>
              <w:t>un vadības izmaksām</w:t>
            </w:r>
            <w:r w:rsidR="00705E54" w:rsidRPr="00C071BE">
              <w:rPr>
                <w:iCs/>
                <w:szCs w:val="24"/>
                <w:lang w:val="lv-LV"/>
              </w:rPr>
              <w:t xml:space="preserve"> Zaļo </w:t>
            </w:r>
            <w:r w:rsidRPr="00C071BE">
              <w:rPr>
                <w:iCs/>
                <w:szCs w:val="24"/>
                <w:lang w:val="lv-LV"/>
              </w:rPr>
              <w:t xml:space="preserve">Tehnoloģiju inkubatoram, neliela apjoma grantu shēmu un </w:t>
            </w:r>
            <w:r w:rsidR="00D97559" w:rsidRPr="00C071BE">
              <w:rPr>
                <w:iCs/>
                <w:szCs w:val="24"/>
                <w:lang w:val="lv-LV"/>
              </w:rPr>
              <w:t xml:space="preserve">divpusējās </w:t>
            </w:r>
            <w:r w:rsidR="00D97559" w:rsidRPr="00C071BE">
              <w:rPr>
                <w:iCs/>
                <w:szCs w:val="24"/>
                <w:lang w:val="lv-LV"/>
              </w:rPr>
              <w:lastRenderedPageBreak/>
              <w:t>sadarbības</w:t>
            </w:r>
            <w:r w:rsidRPr="00C071BE">
              <w:rPr>
                <w:iCs/>
                <w:szCs w:val="24"/>
                <w:lang w:val="lv-LV"/>
              </w:rPr>
              <w:t xml:space="preserve"> fondu EK nav nepieciešams sniegt, jo valsts atbalsts šai gadījumā saskaņā ar Regulas Nr.1998/2006 2.pantu ir atbrīvots no iepriekšējas paziņošanas EK.</w:t>
            </w:r>
          </w:p>
          <w:p w:rsidR="00A540FF" w:rsidRPr="00C071BE" w:rsidRDefault="00A540FF" w:rsidP="0087512B">
            <w:pPr>
              <w:jc w:val="both"/>
              <w:rPr>
                <w:iCs/>
                <w:szCs w:val="24"/>
                <w:lang w:val="lv-LV"/>
              </w:rPr>
            </w:pPr>
          </w:p>
          <w:p w:rsidR="00A540FF" w:rsidRPr="00C071BE" w:rsidRDefault="00A540FF" w:rsidP="0087512B">
            <w:pPr>
              <w:jc w:val="both"/>
              <w:rPr>
                <w:iCs/>
                <w:szCs w:val="24"/>
                <w:lang w:val="lv-LV"/>
              </w:rPr>
            </w:pPr>
          </w:p>
          <w:p w:rsidR="00A540FF" w:rsidRPr="00C071BE" w:rsidRDefault="00A540FF" w:rsidP="0087512B">
            <w:pPr>
              <w:jc w:val="both"/>
              <w:rPr>
                <w:szCs w:val="24"/>
                <w:lang w:val="lv-LV"/>
              </w:rPr>
            </w:pPr>
          </w:p>
        </w:tc>
      </w:tr>
      <w:tr w:rsidR="00A540FF" w:rsidRPr="001F10BC" w:rsidTr="0085498B">
        <w:trPr>
          <w:tblCellSpacing w:w="15" w:type="dxa"/>
        </w:trPr>
        <w:tc>
          <w:tcPr>
            <w:tcW w:w="990" w:type="pct"/>
            <w:tcBorders>
              <w:top w:val="outset" w:sz="6" w:space="0" w:color="auto"/>
              <w:left w:val="outset" w:sz="6" w:space="0" w:color="auto"/>
              <w:bottom w:val="outset" w:sz="6" w:space="0" w:color="auto"/>
              <w:right w:val="outset" w:sz="6" w:space="0" w:color="auto"/>
            </w:tcBorders>
            <w:shd w:val="clear" w:color="auto" w:fill="auto"/>
            <w:hideMark/>
          </w:tcPr>
          <w:p w:rsidR="00A540FF" w:rsidRPr="00340C6E" w:rsidRDefault="00A540FF" w:rsidP="0087512B">
            <w:pPr>
              <w:jc w:val="both"/>
              <w:rPr>
                <w:szCs w:val="24"/>
                <w:lang w:val="lv-LV"/>
              </w:rPr>
            </w:pPr>
            <w:r w:rsidRPr="00340C6E">
              <w:rPr>
                <w:szCs w:val="24"/>
                <w:lang w:val="lv-LV"/>
              </w:rPr>
              <w:lastRenderedPageBreak/>
              <w:t>Cita informācija</w:t>
            </w:r>
          </w:p>
        </w:tc>
        <w:tc>
          <w:tcPr>
            <w:tcW w:w="3961" w:type="pct"/>
            <w:gridSpan w:val="3"/>
            <w:tcBorders>
              <w:top w:val="outset" w:sz="6" w:space="0" w:color="auto"/>
              <w:left w:val="outset" w:sz="6" w:space="0" w:color="auto"/>
              <w:bottom w:val="outset" w:sz="6" w:space="0" w:color="auto"/>
              <w:right w:val="outset" w:sz="6" w:space="0" w:color="auto"/>
            </w:tcBorders>
            <w:shd w:val="clear" w:color="auto" w:fill="auto"/>
            <w:hideMark/>
          </w:tcPr>
          <w:p w:rsidR="00A540FF" w:rsidRPr="00340C6E" w:rsidRDefault="00A540FF" w:rsidP="0087512B">
            <w:pPr>
              <w:jc w:val="both"/>
              <w:rPr>
                <w:szCs w:val="24"/>
                <w:lang w:val="lv-LV"/>
              </w:rPr>
            </w:pPr>
            <w:r w:rsidRPr="00340C6E">
              <w:rPr>
                <w:szCs w:val="24"/>
                <w:lang w:val="lv-LV"/>
              </w:rPr>
              <w:t>Nav</w:t>
            </w:r>
          </w:p>
        </w:tc>
      </w:tr>
    </w:tbl>
    <w:p w:rsidR="004E7656" w:rsidRDefault="004E7656">
      <w:pPr>
        <w:spacing w:after="60"/>
        <w:rPr>
          <w:szCs w:val="24"/>
          <w:lang w:val="lv-LV"/>
        </w:rPr>
      </w:pPr>
    </w:p>
    <w:p w:rsidR="004E7656" w:rsidRDefault="004E7656" w:rsidP="004E7656">
      <w:pPr>
        <w:rPr>
          <w:lang w:val="lv-LV"/>
        </w:rPr>
      </w:pPr>
      <w:r>
        <w:rPr>
          <w:lang w:val="lv-LV"/>
        </w:rPr>
        <w:br w:type="page"/>
      </w:r>
    </w:p>
    <w:p w:rsidR="00912253" w:rsidRDefault="00912253">
      <w:pPr>
        <w:spacing w:after="60"/>
        <w:rPr>
          <w:szCs w:val="24"/>
          <w:lang w:val="lv-LV"/>
        </w:rPr>
      </w:pPr>
    </w:p>
    <w:p w:rsidR="0049090D" w:rsidRDefault="0049090D">
      <w:pPr>
        <w:spacing w:after="60"/>
        <w:rPr>
          <w:szCs w:val="24"/>
          <w:lang w:val="lv-LV"/>
        </w:rPr>
      </w:pPr>
    </w:p>
    <w:tbl>
      <w:tblPr>
        <w:tblW w:w="499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65"/>
        <w:gridCol w:w="3600"/>
        <w:gridCol w:w="3747"/>
      </w:tblGrid>
      <w:tr w:rsidR="00A209C3" w:rsidRPr="009B7D31" w:rsidTr="00F27DD8">
        <w:trPr>
          <w:tblCellSpacing w:w="15" w:type="dxa"/>
        </w:trPr>
        <w:tc>
          <w:tcPr>
            <w:tcW w:w="4967"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E13795" w:rsidRPr="00E13795" w:rsidRDefault="00E13795" w:rsidP="00E13795">
            <w:pPr>
              <w:jc w:val="center"/>
              <w:rPr>
                <w:b/>
                <w:bCs/>
                <w:szCs w:val="24"/>
                <w:lang w:val="lv-LV"/>
              </w:rPr>
            </w:pPr>
            <w:r>
              <w:rPr>
                <w:b/>
                <w:bCs/>
                <w:szCs w:val="24"/>
                <w:lang w:val="lv-LV"/>
              </w:rPr>
              <w:br/>
            </w:r>
            <w:r w:rsidRPr="00E13795">
              <w:rPr>
                <w:b/>
                <w:bCs/>
                <w:szCs w:val="24"/>
                <w:lang w:val="lv-LV"/>
              </w:rPr>
              <w:t>2.tabula</w:t>
            </w:r>
          </w:p>
          <w:p w:rsidR="00E13795" w:rsidRPr="00E13795" w:rsidRDefault="00E13795" w:rsidP="00E13795">
            <w:pPr>
              <w:jc w:val="center"/>
              <w:rPr>
                <w:b/>
                <w:bCs/>
                <w:szCs w:val="24"/>
                <w:lang w:val="lv-LV"/>
              </w:rPr>
            </w:pPr>
            <w:r w:rsidRPr="00E13795">
              <w:rPr>
                <w:b/>
                <w:bCs/>
                <w:szCs w:val="24"/>
                <w:lang w:val="lv-LV"/>
              </w:rPr>
              <w:t>Ar tiesību akta projektu izpildītās vai uzņemtās saistības, kas izriet no starptautiskajiem tiesību aktiem vai starptautiskas institūcijas vai organizācijas dokumentiem.</w:t>
            </w:r>
          </w:p>
          <w:p w:rsidR="00A209C3" w:rsidRPr="00340C6E" w:rsidRDefault="00E13795" w:rsidP="00E13795">
            <w:pPr>
              <w:jc w:val="center"/>
              <w:rPr>
                <w:b/>
                <w:bCs/>
                <w:szCs w:val="24"/>
                <w:lang w:val="lv-LV"/>
              </w:rPr>
            </w:pPr>
            <w:r w:rsidRPr="00E13795">
              <w:rPr>
                <w:b/>
                <w:bCs/>
                <w:szCs w:val="24"/>
                <w:lang w:val="lv-LV"/>
              </w:rPr>
              <w:t>Pasākumi šo saistību izpildei</w:t>
            </w:r>
          </w:p>
        </w:tc>
      </w:tr>
      <w:tr w:rsidR="00A209C3" w:rsidRPr="00C040C4" w:rsidTr="008251AB">
        <w:trPr>
          <w:tblCellSpacing w:w="15" w:type="dxa"/>
        </w:trPr>
        <w:tc>
          <w:tcPr>
            <w:tcW w:w="9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09C3" w:rsidRPr="00340C6E" w:rsidRDefault="00EC37F7" w:rsidP="00F27DD8">
            <w:pPr>
              <w:jc w:val="both"/>
              <w:rPr>
                <w:szCs w:val="24"/>
                <w:lang w:val="lv-LV"/>
              </w:rPr>
            </w:pPr>
            <w:r w:rsidRPr="00EC37F7">
              <w:rPr>
                <w:szCs w:val="24"/>
                <w:lang w:val="lv-LV"/>
              </w:rPr>
              <w:t>Attiecīgā starptautiskā tiesību akta vai starptautiskas institūcijas vai organizācijas dokumenta (turpmāk – starptautiskais dokuments) datums, numurs un nosaukums</w:t>
            </w:r>
          </w:p>
        </w:tc>
        <w:tc>
          <w:tcPr>
            <w:tcW w:w="395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A209C3" w:rsidRDefault="00A209C3" w:rsidP="00F27DD8">
            <w:pPr>
              <w:pStyle w:val="naiskr"/>
              <w:spacing w:before="0" w:after="0"/>
              <w:ind w:right="173"/>
              <w:jc w:val="both"/>
              <w:rPr>
                <w:iCs/>
              </w:rPr>
            </w:pPr>
            <w:r>
              <w:rPr>
                <w:iCs/>
              </w:rPr>
              <w:t>A</w:t>
            </w:r>
            <w:r w:rsidRPr="003B4D90">
              <w:rPr>
                <w:iCs/>
              </w:rPr>
              <w:t xml:space="preserve">r Ministru kabineta 2011.gada 29.marta noteikumiem Nr.252 apstiprinātā Latvijas Republikas un Norvēģijas Karalistes saprašanās memoranda par Norvēģijas finanšu instrumenta ieviešanu 2009. – 2014.gadā </w:t>
            </w:r>
            <w:r>
              <w:rPr>
                <w:iCs/>
              </w:rPr>
              <w:t xml:space="preserve">B </w:t>
            </w:r>
            <w:r w:rsidRPr="003B4D90">
              <w:rPr>
                <w:iCs/>
              </w:rPr>
              <w:t>pielikums.</w:t>
            </w:r>
          </w:p>
          <w:p w:rsidR="00A209C3" w:rsidRDefault="00A209C3" w:rsidP="00F27DD8">
            <w:pPr>
              <w:pStyle w:val="naiskr"/>
              <w:spacing w:before="0" w:after="0"/>
              <w:ind w:right="173"/>
              <w:jc w:val="both"/>
              <w:rPr>
                <w:iCs/>
              </w:rPr>
            </w:pPr>
          </w:p>
          <w:p w:rsidR="00A209C3" w:rsidRPr="00EC37F7" w:rsidRDefault="00A209C3" w:rsidP="00EC37F7">
            <w:pPr>
              <w:jc w:val="both"/>
              <w:rPr>
                <w:szCs w:val="24"/>
                <w:lang w:val="lv-LV"/>
              </w:rPr>
            </w:pPr>
          </w:p>
        </w:tc>
      </w:tr>
      <w:tr w:rsidR="00041B7B" w:rsidRPr="001F10BC" w:rsidTr="008251AB">
        <w:trPr>
          <w:tblCellSpacing w:w="15" w:type="dxa"/>
        </w:trPr>
        <w:tc>
          <w:tcPr>
            <w:tcW w:w="9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1B7B" w:rsidRPr="00340C6E" w:rsidRDefault="00041B7B" w:rsidP="00F27DD8">
            <w:pPr>
              <w:jc w:val="center"/>
              <w:rPr>
                <w:szCs w:val="24"/>
                <w:lang w:val="lv-LV"/>
              </w:rPr>
            </w:pPr>
            <w:r w:rsidRPr="00340C6E">
              <w:rPr>
                <w:szCs w:val="24"/>
                <w:lang w:val="lv-LV"/>
              </w:rPr>
              <w:t>A</w:t>
            </w:r>
          </w:p>
        </w:tc>
        <w:tc>
          <w:tcPr>
            <w:tcW w:w="19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1B7B" w:rsidRPr="00340C6E" w:rsidRDefault="00041B7B" w:rsidP="00F27DD8">
            <w:pPr>
              <w:jc w:val="center"/>
              <w:rPr>
                <w:szCs w:val="24"/>
                <w:lang w:val="lv-LV"/>
              </w:rPr>
            </w:pPr>
            <w:r>
              <w:rPr>
                <w:szCs w:val="24"/>
                <w:lang w:val="lv-LV"/>
              </w:rPr>
              <w:t>B</w:t>
            </w:r>
          </w:p>
        </w:tc>
        <w:tc>
          <w:tcPr>
            <w:tcW w:w="19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1B7B" w:rsidRPr="00340C6E" w:rsidRDefault="00041B7B" w:rsidP="00F27DD8">
            <w:pPr>
              <w:jc w:val="center"/>
              <w:rPr>
                <w:szCs w:val="24"/>
                <w:lang w:val="lv-LV"/>
              </w:rPr>
            </w:pPr>
            <w:r>
              <w:rPr>
                <w:szCs w:val="24"/>
                <w:lang w:val="lv-LV"/>
              </w:rPr>
              <w:t>C</w:t>
            </w:r>
          </w:p>
        </w:tc>
      </w:tr>
      <w:tr w:rsidR="00041B7B" w:rsidRPr="00C040C4" w:rsidTr="008251AB">
        <w:trPr>
          <w:tblCellSpacing w:w="15" w:type="dxa"/>
        </w:trPr>
        <w:tc>
          <w:tcPr>
            <w:tcW w:w="994" w:type="pct"/>
            <w:tcBorders>
              <w:top w:val="outset" w:sz="6" w:space="0" w:color="auto"/>
              <w:left w:val="outset" w:sz="6" w:space="0" w:color="auto"/>
              <w:bottom w:val="outset" w:sz="6" w:space="0" w:color="auto"/>
              <w:right w:val="outset" w:sz="6" w:space="0" w:color="auto"/>
            </w:tcBorders>
            <w:shd w:val="clear" w:color="auto" w:fill="auto"/>
            <w:hideMark/>
          </w:tcPr>
          <w:p w:rsidR="00041B7B" w:rsidRPr="00340C6E" w:rsidRDefault="00041B7B" w:rsidP="00F27DD8">
            <w:pPr>
              <w:pStyle w:val="naiskr"/>
              <w:spacing w:before="0" w:after="0"/>
              <w:jc w:val="both"/>
            </w:pPr>
            <w:r w:rsidRPr="00340C6E">
              <w:t xml:space="preserve">Attiecīgā ES tiesību akta panta numurs (uzskaitot katru tiesību akta </w:t>
            </w:r>
            <w:r w:rsidRPr="00340C6E">
              <w:br/>
              <w:t>vienību – pantu, daļu, punktu, apakšpunktu)</w:t>
            </w:r>
          </w:p>
        </w:tc>
        <w:tc>
          <w:tcPr>
            <w:tcW w:w="1950" w:type="pct"/>
            <w:tcBorders>
              <w:top w:val="outset" w:sz="6" w:space="0" w:color="auto"/>
              <w:left w:val="outset" w:sz="6" w:space="0" w:color="auto"/>
              <w:bottom w:val="outset" w:sz="6" w:space="0" w:color="auto"/>
              <w:right w:val="outset" w:sz="6" w:space="0" w:color="auto"/>
            </w:tcBorders>
            <w:shd w:val="clear" w:color="auto" w:fill="auto"/>
            <w:hideMark/>
          </w:tcPr>
          <w:p w:rsidR="00041B7B" w:rsidRPr="00340C6E" w:rsidRDefault="00041B7B" w:rsidP="00F27DD8">
            <w:pPr>
              <w:pStyle w:val="naiskr"/>
              <w:spacing w:before="0" w:after="0"/>
              <w:jc w:val="both"/>
            </w:pPr>
            <w:r w:rsidRPr="00041B7B">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1991" w:type="pct"/>
            <w:tcBorders>
              <w:top w:val="outset" w:sz="6" w:space="0" w:color="auto"/>
              <w:left w:val="outset" w:sz="6" w:space="0" w:color="auto"/>
              <w:bottom w:val="outset" w:sz="6" w:space="0" w:color="auto"/>
              <w:right w:val="outset" w:sz="6" w:space="0" w:color="auto"/>
            </w:tcBorders>
            <w:shd w:val="clear" w:color="auto" w:fill="auto"/>
            <w:hideMark/>
          </w:tcPr>
          <w:p w:rsidR="008251AB" w:rsidRDefault="008251AB" w:rsidP="008251AB">
            <w:pPr>
              <w:pStyle w:val="naiskr"/>
              <w:spacing w:before="0" w:after="0"/>
              <w:jc w:val="both"/>
            </w:pPr>
            <w:r>
              <w:t>Informācija par to, vai starptautiskās saistības, kas minētas šīs tabulas A ailē, tiek izpildītas pilnībā vai daļēji.</w:t>
            </w:r>
          </w:p>
          <w:p w:rsidR="008251AB" w:rsidRDefault="008251AB" w:rsidP="008251AB">
            <w:pPr>
              <w:pStyle w:val="naiskr"/>
              <w:spacing w:before="0" w:after="0"/>
              <w:jc w:val="both"/>
            </w:pPr>
          </w:p>
          <w:p w:rsidR="008251AB" w:rsidRDefault="008251AB" w:rsidP="008251AB">
            <w:pPr>
              <w:pStyle w:val="naiskr"/>
              <w:spacing w:before="0" w:after="0"/>
              <w:jc w:val="both"/>
            </w:pPr>
            <w:r>
              <w:t>Ja attiecīgās starptautiskās saistības tiek izpildītas daļēji, sniedz attiecīgu skaidrojumu, kā arī precīzi norāda, kad un kādā veidā starptautiskās saistības tiks izpildītas pilnībā.</w:t>
            </w:r>
          </w:p>
          <w:p w:rsidR="008251AB" w:rsidRDefault="008251AB" w:rsidP="008251AB">
            <w:pPr>
              <w:pStyle w:val="naiskr"/>
              <w:spacing w:before="0" w:after="0"/>
              <w:jc w:val="both"/>
            </w:pPr>
          </w:p>
          <w:p w:rsidR="00041B7B" w:rsidRPr="00340C6E" w:rsidRDefault="008251AB" w:rsidP="008251AB">
            <w:pPr>
              <w:pStyle w:val="naiskr"/>
              <w:spacing w:before="0" w:after="0"/>
              <w:jc w:val="both"/>
            </w:pPr>
            <w:r>
              <w:t>Norāda institūciju, kas ir atbildīga par šo saistību izpildi pilnībā</w:t>
            </w:r>
          </w:p>
        </w:tc>
      </w:tr>
      <w:tr w:rsidR="00041B7B" w:rsidRPr="001F10BC" w:rsidTr="008251AB">
        <w:trPr>
          <w:trHeight w:val="446"/>
          <w:tblCellSpacing w:w="15" w:type="dxa"/>
        </w:trPr>
        <w:tc>
          <w:tcPr>
            <w:tcW w:w="994" w:type="pct"/>
            <w:tcBorders>
              <w:top w:val="outset" w:sz="6" w:space="0" w:color="auto"/>
              <w:left w:val="outset" w:sz="6" w:space="0" w:color="auto"/>
              <w:bottom w:val="outset" w:sz="6" w:space="0" w:color="auto"/>
              <w:right w:val="outset" w:sz="6" w:space="0" w:color="auto"/>
            </w:tcBorders>
            <w:shd w:val="clear" w:color="auto" w:fill="auto"/>
            <w:hideMark/>
          </w:tcPr>
          <w:p w:rsidR="00041B7B" w:rsidRPr="00CF6DE0" w:rsidRDefault="00041B7B" w:rsidP="00F27DD8">
            <w:pPr>
              <w:pStyle w:val="naiskr"/>
              <w:spacing w:before="0" w:after="0"/>
              <w:jc w:val="both"/>
              <w:rPr>
                <w:i/>
              </w:rPr>
            </w:pPr>
            <w:r w:rsidRPr="00CF6DE0">
              <w:rPr>
                <w:i/>
              </w:rPr>
              <w:t xml:space="preserve">Saskaņā ar </w:t>
            </w:r>
            <w:r w:rsidRPr="00CF6DE0">
              <w:rPr>
                <w:i/>
                <w:iCs/>
              </w:rPr>
              <w:t xml:space="preserve">saprašanās memoranda Ieviešanas ietvara 3.punktu </w:t>
            </w:r>
            <w:r w:rsidRPr="00CF6DE0">
              <w:rPr>
                <w:bCs/>
                <w:i/>
              </w:rPr>
              <w:t>E</w:t>
            </w:r>
            <w:r>
              <w:rPr>
                <w:bCs/>
                <w:i/>
              </w:rPr>
              <w:t xml:space="preserve">konomikas ministrijai </w:t>
            </w:r>
            <w:r w:rsidRPr="00CF6DE0">
              <w:rPr>
                <w:i/>
              </w:rPr>
              <w:t>atbilstoši Norvēģijas Ārlietu ministrijas apstiprinājumam</w:t>
            </w:r>
            <w:r>
              <w:rPr>
                <w:i/>
              </w:rPr>
              <w:t xml:space="preserve"> jānodrošina programmas ieviešana</w:t>
            </w:r>
          </w:p>
        </w:tc>
        <w:tc>
          <w:tcPr>
            <w:tcW w:w="1950" w:type="pct"/>
            <w:tcBorders>
              <w:top w:val="outset" w:sz="6" w:space="0" w:color="auto"/>
              <w:left w:val="outset" w:sz="6" w:space="0" w:color="auto"/>
              <w:bottom w:val="outset" w:sz="6" w:space="0" w:color="auto"/>
              <w:right w:val="outset" w:sz="6" w:space="0" w:color="auto"/>
            </w:tcBorders>
            <w:shd w:val="clear" w:color="auto" w:fill="auto"/>
          </w:tcPr>
          <w:p w:rsidR="00041B7B" w:rsidRPr="003B21DE" w:rsidRDefault="00041B7B" w:rsidP="00041B7B">
            <w:pPr>
              <w:pStyle w:val="naiskr"/>
              <w:spacing w:before="0" w:after="0"/>
              <w:rPr>
                <w:b/>
                <w:i/>
              </w:rPr>
            </w:pPr>
            <w:r w:rsidRPr="003B21DE">
              <w:rPr>
                <w:b/>
                <w:i/>
              </w:rPr>
              <w:t>Ministru kabineta noteikumu projekta I. sadaļa „</w:t>
            </w:r>
            <w:r w:rsidR="00FF0DB8">
              <w:rPr>
                <w:b/>
                <w:i/>
              </w:rPr>
              <w:t>Vispārīgie jautājumi”.</w:t>
            </w:r>
            <w:r w:rsidRPr="003B21DE">
              <w:rPr>
                <w:b/>
                <w:i/>
              </w:rPr>
              <w:t xml:space="preserve"> </w:t>
            </w:r>
          </w:p>
          <w:p w:rsidR="00041B7B" w:rsidRPr="00CF6DE0" w:rsidRDefault="00041B7B" w:rsidP="00FF0DB8">
            <w:pPr>
              <w:pStyle w:val="naiskr"/>
              <w:spacing w:before="0" w:after="0"/>
              <w:rPr>
                <w:i/>
              </w:rPr>
            </w:pPr>
            <w:r w:rsidRPr="003B21DE">
              <w:rPr>
                <w:b/>
                <w:bCs/>
                <w:i/>
                <w:iCs/>
              </w:rPr>
              <w:t xml:space="preserve">Ar A ailē minētā Saprašanās memoranda saistību izpildi nodrošinošā normatīvā akta projekta izstrādi saistības tiek izpildītas daļēji. Pilnībā saistības būs izpildītas pēc </w:t>
            </w:r>
            <w:r w:rsidR="00FF0DB8">
              <w:rPr>
                <w:b/>
                <w:bCs/>
                <w:i/>
                <w:iCs/>
              </w:rPr>
              <w:t>P</w:t>
            </w:r>
            <w:r w:rsidRPr="003B21DE">
              <w:rPr>
                <w:b/>
                <w:bCs/>
                <w:i/>
                <w:iCs/>
              </w:rPr>
              <w:t>rogrammas īstenošanas pabeigšanas 2017. gadā.</w:t>
            </w:r>
          </w:p>
        </w:tc>
        <w:tc>
          <w:tcPr>
            <w:tcW w:w="1991" w:type="pct"/>
            <w:tcBorders>
              <w:top w:val="outset" w:sz="6" w:space="0" w:color="auto"/>
              <w:left w:val="outset" w:sz="6" w:space="0" w:color="auto"/>
              <w:bottom w:val="outset" w:sz="6" w:space="0" w:color="auto"/>
              <w:right w:val="outset" w:sz="6" w:space="0" w:color="auto"/>
            </w:tcBorders>
            <w:shd w:val="clear" w:color="auto" w:fill="auto"/>
            <w:hideMark/>
          </w:tcPr>
          <w:p w:rsidR="00041B7B" w:rsidRPr="00340C6E" w:rsidRDefault="00041B7B" w:rsidP="00F27DD8">
            <w:pPr>
              <w:pStyle w:val="naiskr"/>
              <w:spacing w:before="0" w:after="0"/>
              <w:jc w:val="both"/>
            </w:pPr>
          </w:p>
        </w:tc>
      </w:tr>
      <w:tr w:rsidR="00A209C3" w:rsidRPr="00A46CA7" w:rsidTr="008251AB">
        <w:trPr>
          <w:tblCellSpacing w:w="15" w:type="dxa"/>
        </w:trPr>
        <w:tc>
          <w:tcPr>
            <w:tcW w:w="9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09C3" w:rsidRPr="00340C6E" w:rsidRDefault="000502E6" w:rsidP="00F27DD8">
            <w:pPr>
              <w:jc w:val="both"/>
              <w:rPr>
                <w:szCs w:val="24"/>
                <w:lang w:val="lv-LV"/>
              </w:rPr>
            </w:pPr>
            <w:r w:rsidRPr="000502E6">
              <w:rPr>
                <w:szCs w:val="24"/>
                <w:lang w:val="lv-LV"/>
              </w:rPr>
              <w:t xml:space="preserve">Vai </w:t>
            </w:r>
            <w:r w:rsidRPr="000502E6">
              <w:rPr>
                <w:szCs w:val="24"/>
                <w:lang w:val="lv-LV"/>
              </w:rPr>
              <w:lastRenderedPageBreak/>
              <w:t>starptautiskajā dokumentā paredzētās saistības nav pretrunā ar jau esošajām Latvijas Republikas starptautiskajām saistībām</w:t>
            </w:r>
          </w:p>
        </w:tc>
        <w:tc>
          <w:tcPr>
            <w:tcW w:w="3957" w:type="pct"/>
            <w:gridSpan w:val="2"/>
            <w:tcBorders>
              <w:top w:val="outset" w:sz="6" w:space="0" w:color="auto"/>
              <w:left w:val="outset" w:sz="6" w:space="0" w:color="auto"/>
              <w:bottom w:val="outset" w:sz="6" w:space="0" w:color="auto"/>
              <w:right w:val="outset" w:sz="6" w:space="0" w:color="auto"/>
            </w:tcBorders>
            <w:shd w:val="clear" w:color="auto" w:fill="auto"/>
            <w:hideMark/>
          </w:tcPr>
          <w:p w:rsidR="00A209C3" w:rsidRPr="00340C6E" w:rsidRDefault="00A46CA7" w:rsidP="00A46CA7">
            <w:pPr>
              <w:jc w:val="both"/>
              <w:rPr>
                <w:szCs w:val="24"/>
                <w:lang w:val="lv-LV"/>
              </w:rPr>
            </w:pPr>
            <w:r>
              <w:rPr>
                <w:szCs w:val="24"/>
                <w:lang w:val="lv-LV"/>
              </w:rPr>
              <w:lastRenderedPageBreak/>
              <w:t>Nav</w:t>
            </w:r>
          </w:p>
        </w:tc>
      </w:tr>
      <w:tr w:rsidR="00A209C3" w:rsidRPr="001F10BC" w:rsidTr="008251AB">
        <w:trPr>
          <w:tblCellSpacing w:w="15" w:type="dxa"/>
        </w:trPr>
        <w:tc>
          <w:tcPr>
            <w:tcW w:w="994" w:type="pct"/>
            <w:tcBorders>
              <w:top w:val="outset" w:sz="6" w:space="0" w:color="auto"/>
              <w:left w:val="outset" w:sz="6" w:space="0" w:color="auto"/>
              <w:bottom w:val="outset" w:sz="6" w:space="0" w:color="auto"/>
              <w:right w:val="outset" w:sz="6" w:space="0" w:color="auto"/>
            </w:tcBorders>
            <w:shd w:val="clear" w:color="auto" w:fill="auto"/>
            <w:hideMark/>
          </w:tcPr>
          <w:p w:rsidR="00A209C3" w:rsidRPr="00340C6E" w:rsidRDefault="00A209C3" w:rsidP="00F27DD8">
            <w:pPr>
              <w:jc w:val="both"/>
              <w:rPr>
                <w:szCs w:val="24"/>
                <w:lang w:val="lv-LV"/>
              </w:rPr>
            </w:pPr>
            <w:r w:rsidRPr="00340C6E">
              <w:rPr>
                <w:szCs w:val="24"/>
                <w:lang w:val="lv-LV"/>
              </w:rPr>
              <w:lastRenderedPageBreak/>
              <w:t>Cita informācija</w:t>
            </w:r>
          </w:p>
        </w:tc>
        <w:tc>
          <w:tcPr>
            <w:tcW w:w="3957" w:type="pct"/>
            <w:gridSpan w:val="2"/>
            <w:tcBorders>
              <w:top w:val="outset" w:sz="6" w:space="0" w:color="auto"/>
              <w:left w:val="outset" w:sz="6" w:space="0" w:color="auto"/>
              <w:bottom w:val="outset" w:sz="6" w:space="0" w:color="auto"/>
              <w:right w:val="outset" w:sz="6" w:space="0" w:color="auto"/>
            </w:tcBorders>
            <w:shd w:val="clear" w:color="auto" w:fill="auto"/>
            <w:hideMark/>
          </w:tcPr>
          <w:p w:rsidR="00A209C3" w:rsidRPr="00340C6E" w:rsidRDefault="00A209C3" w:rsidP="00F27DD8">
            <w:pPr>
              <w:jc w:val="both"/>
              <w:rPr>
                <w:szCs w:val="24"/>
                <w:lang w:val="lv-LV"/>
              </w:rPr>
            </w:pPr>
            <w:r w:rsidRPr="00340C6E">
              <w:rPr>
                <w:szCs w:val="24"/>
                <w:lang w:val="lv-LV"/>
              </w:rPr>
              <w:t>Nav</w:t>
            </w:r>
          </w:p>
        </w:tc>
      </w:tr>
    </w:tbl>
    <w:p w:rsidR="00CE67B0" w:rsidRDefault="00CE67B0">
      <w:pPr>
        <w:spacing w:after="60"/>
        <w:rPr>
          <w:szCs w:val="24"/>
          <w:lang w:val="lv-LV"/>
        </w:rPr>
      </w:pPr>
      <w:r>
        <w:rPr>
          <w:szCs w:val="24"/>
          <w:lang w:val="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73"/>
        <w:gridCol w:w="1543"/>
        <w:gridCol w:w="6905"/>
      </w:tblGrid>
      <w:tr w:rsidR="00196940" w:rsidRPr="00C040C4" w:rsidTr="0087512B">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196940" w:rsidRPr="00196940" w:rsidRDefault="00196940" w:rsidP="0087512B">
            <w:pPr>
              <w:jc w:val="center"/>
              <w:rPr>
                <w:b/>
                <w:bCs/>
                <w:szCs w:val="24"/>
                <w:lang w:val="lv-LV"/>
              </w:rPr>
            </w:pPr>
            <w:r w:rsidRPr="00196940">
              <w:rPr>
                <w:b/>
                <w:bCs/>
                <w:szCs w:val="24"/>
                <w:lang w:val="lv-LV"/>
              </w:rPr>
              <w:t>VI. Sabiedrības līdzdalība un šīs līdzdalības rezultāti</w:t>
            </w:r>
          </w:p>
        </w:tc>
      </w:tr>
      <w:tr w:rsidR="00196940" w:rsidRPr="00C040C4" w:rsidTr="004B11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96940" w:rsidRPr="00196940" w:rsidRDefault="00196940" w:rsidP="0087512B">
            <w:pPr>
              <w:jc w:val="both"/>
              <w:rPr>
                <w:szCs w:val="24"/>
                <w:lang w:val="lv-LV"/>
              </w:rPr>
            </w:pPr>
            <w:r w:rsidRPr="00196940">
              <w:rPr>
                <w:szCs w:val="24"/>
                <w:lang w:val="lv-LV"/>
              </w:rPr>
              <w:t>1.</w:t>
            </w:r>
          </w:p>
        </w:tc>
        <w:tc>
          <w:tcPr>
            <w:tcW w:w="831" w:type="pct"/>
            <w:tcBorders>
              <w:top w:val="outset" w:sz="6" w:space="0" w:color="auto"/>
              <w:left w:val="outset" w:sz="6" w:space="0" w:color="auto"/>
              <w:bottom w:val="outset" w:sz="6" w:space="0" w:color="auto"/>
              <w:right w:val="outset" w:sz="6" w:space="0" w:color="auto"/>
            </w:tcBorders>
            <w:hideMark/>
          </w:tcPr>
          <w:p w:rsidR="00196940" w:rsidRPr="00196940" w:rsidRDefault="00196940" w:rsidP="0087512B">
            <w:pPr>
              <w:jc w:val="both"/>
              <w:rPr>
                <w:szCs w:val="24"/>
                <w:lang w:val="lv-LV"/>
              </w:rPr>
            </w:pPr>
            <w:r w:rsidRPr="00196940">
              <w:rPr>
                <w:szCs w:val="24"/>
                <w:lang w:val="lv-LV"/>
              </w:rPr>
              <w:t>Sabiedrības informēšana par projekta izstrādes uzsākšanu</w:t>
            </w:r>
          </w:p>
        </w:tc>
        <w:tc>
          <w:tcPr>
            <w:tcW w:w="3769" w:type="pct"/>
            <w:tcBorders>
              <w:top w:val="outset" w:sz="6" w:space="0" w:color="auto"/>
              <w:left w:val="outset" w:sz="6" w:space="0" w:color="auto"/>
              <w:bottom w:val="outset" w:sz="6" w:space="0" w:color="auto"/>
              <w:right w:val="outset" w:sz="6" w:space="0" w:color="auto"/>
            </w:tcBorders>
            <w:hideMark/>
          </w:tcPr>
          <w:p w:rsidR="00196940" w:rsidRPr="00196940" w:rsidRDefault="0066276A" w:rsidP="009B0745">
            <w:pPr>
              <w:ind w:firstLine="284"/>
              <w:jc w:val="both"/>
              <w:rPr>
                <w:szCs w:val="24"/>
                <w:lang w:val="lv-LV"/>
              </w:rPr>
            </w:pPr>
            <w:r w:rsidRPr="0066276A">
              <w:rPr>
                <w:szCs w:val="24"/>
                <w:lang w:val="lv-LV"/>
              </w:rPr>
              <w:t>Ekonomikas ministrijas un Norvēģijas Karalistes  vēstniecības Latvijā kopīgi organizētā programmas uzsākšanas pasākumā 2012. gada 3. oktobrī Norvēģijas dienu Latvijā ietvaros plašāka sabiedrība tika informēta par programmas plānoto Ministru kabineta noteikumu saturu</w:t>
            </w:r>
            <w:r w:rsidR="00A44141">
              <w:rPr>
                <w:szCs w:val="24"/>
                <w:lang w:val="lv-LV"/>
              </w:rPr>
              <w:t>.</w:t>
            </w:r>
          </w:p>
        </w:tc>
      </w:tr>
      <w:tr w:rsidR="00196940" w:rsidRPr="001F10BC" w:rsidTr="004B11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96940" w:rsidRPr="00196940" w:rsidRDefault="00196940" w:rsidP="0087512B">
            <w:pPr>
              <w:jc w:val="both"/>
              <w:rPr>
                <w:szCs w:val="24"/>
                <w:lang w:val="lv-LV"/>
              </w:rPr>
            </w:pPr>
            <w:r w:rsidRPr="00196940">
              <w:rPr>
                <w:szCs w:val="24"/>
                <w:lang w:val="lv-LV"/>
              </w:rPr>
              <w:t>2.</w:t>
            </w:r>
          </w:p>
        </w:tc>
        <w:tc>
          <w:tcPr>
            <w:tcW w:w="831" w:type="pct"/>
            <w:tcBorders>
              <w:top w:val="outset" w:sz="6" w:space="0" w:color="auto"/>
              <w:left w:val="outset" w:sz="6" w:space="0" w:color="auto"/>
              <w:bottom w:val="outset" w:sz="6" w:space="0" w:color="auto"/>
              <w:right w:val="outset" w:sz="6" w:space="0" w:color="auto"/>
            </w:tcBorders>
            <w:hideMark/>
          </w:tcPr>
          <w:p w:rsidR="00196940" w:rsidRPr="00196940" w:rsidRDefault="00196940" w:rsidP="0087512B">
            <w:pPr>
              <w:jc w:val="both"/>
              <w:rPr>
                <w:szCs w:val="24"/>
                <w:lang w:val="lv-LV"/>
              </w:rPr>
            </w:pPr>
            <w:r w:rsidRPr="00196940">
              <w:rPr>
                <w:szCs w:val="24"/>
                <w:lang w:val="lv-LV"/>
              </w:rPr>
              <w:t>Sabiedrības līdzdalība projekta izstrādē</w:t>
            </w:r>
          </w:p>
        </w:tc>
        <w:tc>
          <w:tcPr>
            <w:tcW w:w="3769" w:type="pct"/>
            <w:tcBorders>
              <w:top w:val="outset" w:sz="6" w:space="0" w:color="auto"/>
              <w:left w:val="outset" w:sz="6" w:space="0" w:color="auto"/>
              <w:bottom w:val="outset" w:sz="6" w:space="0" w:color="auto"/>
              <w:right w:val="outset" w:sz="6" w:space="0" w:color="auto"/>
            </w:tcBorders>
            <w:hideMark/>
          </w:tcPr>
          <w:p w:rsidR="00196940" w:rsidRPr="00196940" w:rsidRDefault="00E42EB2" w:rsidP="00E245B2">
            <w:pPr>
              <w:ind w:firstLine="284"/>
              <w:jc w:val="both"/>
              <w:rPr>
                <w:iCs/>
                <w:szCs w:val="24"/>
                <w:lang w:val="lv-LV"/>
              </w:rPr>
            </w:pPr>
            <w:r>
              <w:rPr>
                <w:szCs w:val="24"/>
                <w:lang w:val="lv-LV"/>
              </w:rPr>
              <w:t xml:space="preserve">Programmas </w:t>
            </w:r>
            <w:r w:rsidRPr="00380DA5">
              <w:rPr>
                <w:szCs w:val="24"/>
                <w:lang w:val="lv-LV"/>
              </w:rPr>
              <w:t>izstrādes procesā ir iesaistītas Latvijas Universitāte un Rīgas Tehniskā universitāte</w:t>
            </w:r>
            <w:r>
              <w:rPr>
                <w:szCs w:val="24"/>
                <w:lang w:val="lv-LV"/>
              </w:rPr>
              <w:t>.</w:t>
            </w:r>
          </w:p>
        </w:tc>
      </w:tr>
      <w:tr w:rsidR="00196940" w:rsidRPr="00835AEF" w:rsidTr="004B11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96940" w:rsidRPr="00196940" w:rsidRDefault="00196940" w:rsidP="0087512B">
            <w:pPr>
              <w:jc w:val="both"/>
              <w:rPr>
                <w:szCs w:val="24"/>
                <w:lang w:val="lv-LV"/>
              </w:rPr>
            </w:pPr>
            <w:r w:rsidRPr="00196940">
              <w:rPr>
                <w:szCs w:val="24"/>
                <w:lang w:val="lv-LV"/>
              </w:rPr>
              <w:t>3.</w:t>
            </w:r>
          </w:p>
        </w:tc>
        <w:tc>
          <w:tcPr>
            <w:tcW w:w="831" w:type="pct"/>
            <w:tcBorders>
              <w:top w:val="outset" w:sz="6" w:space="0" w:color="auto"/>
              <w:left w:val="outset" w:sz="6" w:space="0" w:color="auto"/>
              <w:bottom w:val="outset" w:sz="6" w:space="0" w:color="auto"/>
              <w:right w:val="outset" w:sz="6" w:space="0" w:color="auto"/>
            </w:tcBorders>
            <w:hideMark/>
          </w:tcPr>
          <w:p w:rsidR="00196940" w:rsidRPr="00196940" w:rsidRDefault="00196940" w:rsidP="0087512B">
            <w:pPr>
              <w:jc w:val="both"/>
              <w:rPr>
                <w:szCs w:val="24"/>
                <w:lang w:val="lv-LV"/>
              </w:rPr>
            </w:pPr>
            <w:r w:rsidRPr="00196940">
              <w:rPr>
                <w:szCs w:val="24"/>
                <w:lang w:val="lv-LV"/>
              </w:rPr>
              <w:t>Sabiedrības līdzdalības rezultāti</w:t>
            </w:r>
          </w:p>
        </w:tc>
        <w:tc>
          <w:tcPr>
            <w:tcW w:w="3769" w:type="pct"/>
            <w:tcBorders>
              <w:top w:val="outset" w:sz="6" w:space="0" w:color="auto"/>
              <w:left w:val="outset" w:sz="6" w:space="0" w:color="auto"/>
              <w:bottom w:val="outset" w:sz="6" w:space="0" w:color="auto"/>
              <w:right w:val="outset" w:sz="6" w:space="0" w:color="auto"/>
            </w:tcBorders>
            <w:hideMark/>
          </w:tcPr>
          <w:p w:rsidR="00196940" w:rsidRPr="00C071BE" w:rsidRDefault="005A6D21" w:rsidP="005A6D21">
            <w:pPr>
              <w:ind w:firstLine="483"/>
              <w:rPr>
                <w:szCs w:val="24"/>
                <w:lang w:val="lv-LV"/>
              </w:rPr>
            </w:pPr>
            <w:r w:rsidRPr="00C071BE">
              <w:rPr>
                <w:szCs w:val="24"/>
                <w:lang w:val="lv-LV"/>
              </w:rPr>
              <w:t xml:space="preserve"> Nav</w:t>
            </w:r>
          </w:p>
        </w:tc>
      </w:tr>
      <w:tr w:rsidR="00196940" w:rsidRPr="001F10BC" w:rsidTr="004B11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96940" w:rsidRPr="00196940" w:rsidRDefault="00196940" w:rsidP="0087512B">
            <w:pPr>
              <w:jc w:val="both"/>
              <w:rPr>
                <w:szCs w:val="24"/>
                <w:lang w:val="lv-LV"/>
              </w:rPr>
            </w:pPr>
            <w:r w:rsidRPr="00196940">
              <w:rPr>
                <w:szCs w:val="24"/>
                <w:lang w:val="lv-LV"/>
              </w:rPr>
              <w:t>4.</w:t>
            </w:r>
          </w:p>
        </w:tc>
        <w:tc>
          <w:tcPr>
            <w:tcW w:w="831" w:type="pct"/>
            <w:tcBorders>
              <w:top w:val="outset" w:sz="6" w:space="0" w:color="auto"/>
              <w:left w:val="outset" w:sz="6" w:space="0" w:color="auto"/>
              <w:bottom w:val="outset" w:sz="6" w:space="0" w:color="auto"/>
              <w:right w:val="outset" w:sz="6" w:space="0" w:color="auto"/>
            </w:tcBorders>
            <w:hideMark/>
          </w:tcPr>
          <w:p w:rsidR="00196940" w:rsidRPr="00196940" w:rsidRDefault="00196940" w:rsidP="0087512B">
            <w:pPr>
              <w:jc w:val="both"/>
              <w:rPr>
                <w:szCs w:val="24"/>
                <w:lang w:val="lv-LV"/>
              </w:rPr>
            </w:pPr>
            <w:r w:rsidRPr="00196940">
              <w:rPr>
                <w:szCs w:val="24"/>
                <w:lang w:val="lv-LV"/>
              </w:rPr>
              <w:t>Saeimas un ekspertu līdzdalība</w:t>
            </w:r>
          </w:p>
        </w:tc>
        <w:tc>
          <w:tcPr>
            <w:tcW w:w="3769" w:type="pct"/>
            <w:tcBorders>
              <w:top w:val="outset" w:sz="6" w:space="0" w:color="auto"/>
              <w:left w:val="outset" w:sz="6" w:space="0" w:color="auto"/>
              <w:bottom w:val="outset" w:sz="6" w:space="0" w:color="auto"/>
              <w:right w:val="outset" w:sz="6" w:space="0" w:color="auto"/>
            </w:tcBorders>
            <w:hideMark/>
          </w:tcPr>
          <w:p w:rsidR="00196940" w:rsidRPr="00196940" w:rsidRDefault="00196940" w:rsidP="0087512B">
            <w:pPr>
              <w:ind w:firstLine="483"/>
              <w:jc w:val="both"/>
              <w:rPr>
                <w:szCs w:val="24"/>
                <w:lang w:val="lv-LV"/>
              </w:rPr>
            </w:pPr>
            <w:r w:rsidRPr="00196940">
              <w:rPr>
                <w:iCs/>
                <w:szCs w:val="24"/>
                <w:lang w:val="lv-LV"/>
              </w:rPr>
              <w:t>Projekts šo jomu neskar. </w:t>
            </w:r>
          </w:p>
        </w:tc>
      </w:tr>
      <w:tr w:rsidR="00196940" w:rsidRPr="001F10BC" w:rsidTr="004B11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96940" w:rsidRPr="00196940" w:rsidRDefault="00196940" w:rsidP="0087512B">
            <w:pPr>
              <w:jc w:val="both"/>
              <w:rPr>
                <w:szCs w:val="24"/>
                <w:lang w:val="lv-LV"/>
              </w:rPr>
            </w:pPr>
            <w:r w:rsidRPr="00196940">
              <w:rPr>
                <w:szCs w:val="24"/>
                <w:lang w:val="lv-LV"/>
              </w:rPr>
              <w:t>5.</w:t>
            </w:r>
          </w:p>
        </w:tc>
        <w:tc>
          <w:tcPr>
            <w:tcW w:w="831" w:type="pct"/>
            <w:tcBorders>
              <w:top w:val="outset" w:sz="6" w:space="0" w:color="auto"/>
              <w:left w:val="outset" w:sz="6" w:space="0" w:color="auto"/>
              <w:bottom w:val="outset" w:sz="6" w:space="0" w:color="auto"/>
              <w:right w:val="outset" w:sz="6" w:space="0" w:color="auto"/>
            </w:tcBorders>
            <w:hideMark/>
          </w:tcPr>
          <w:p w:rsidR="00196940" w:rsidRPr="00196940" w:rsidRDefault="00196940" w:rsidP="0087512B">
            <w:pPr>
              <w:jc w:val="both"/>
              <w:rPr>
                <w:szCs w:val="24"/>
                <w:lang w:val="lv-LV"/>
              </w:rPr>
            </w:pPr>
            <w:r w:rsidRPr="00196940">
              <w:rPr>
                <w:szCs w:val="24"/>
                <w:lang w:val="lv-LV"/>
              </w:rPr>
              <w:t>Cita informācija</w:t>
            </w:r>
          </w:p>
        </w:tc>
        <w:tc>
          <w:tcPr>
            <w:tcW w:w="3769" w:type="pct"/>
            <w:tcBorders>
              <w:top w:val="outset" w:sz="6" w:space="0" w:color="auto"/>
              <w:left w:val="outset" w:sz="6" w:space="0" w:color="auto"/>
              <w:bottom w:val="outset" w:sz="6" w:space="0" w:color="auto"/>
              <w:right w:val="outset" w:sz="6" w:space="0" w:color="auto"/>
            </w:tcBorders>
            <w:hideMark/>
          </w:tcPr>
          <w:p w:rsidR="00196940" w:rsidRPr="00196940" w:rsidRDefault="00196940" w:rsidP="005A6D21">
            <w:pPr>
              <w:ind w:firstLine="483"/>
              <w:rPr>
                <w:szCs w:val="24"/>
                <w:lang w:val="lv-LV"/>
              </w:rPr>
            </w:pPr>
            <w:r w:rsidRPr="00196940">
              <w:rPr>
                <w:szCs w:val="24"/>
                <w:lang w:val="lv-LV"/>
              </w:rPr>
              <w:t>Nav</w:t>
            </w:r>
          </w:p>
        </w:tc>
      </w:tr>
    </w:tbl>
    <w:p w:rsidR="00380DA5" w:rsidRPr="00380DA5" w:rsidRDefault="00380DA5">
      <w:pPr>
        <w:spacing w:after="60"/>
        <w:rPr>
          <w:szCs w:val="24"/>
          <w:lang w:val="lv-LV"/>
        </w:rPr>
      </w:pP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507"/>
        <w:gridCol w:w="3052"/>
        <w:gridCol w:w="5542"/>
      </w:tblGrid>
      <w:tr w:rsidR="00457DC2" w:rsidRPr="00C040C4">
        <w:tc>
          <w:tcPr>
            <w:tcW w:w="9101"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jc w:val="center"/>
              <w:rPr>
                <w:szCs w:val="24"/>
                <w:lang w:val="lv-LV"/>
              </w:rPr>
            </w:pPr>
            <w:r w:rsidRPr="00380DA5">
              <w:rPr>
                <w:b/>
                <w:szCs w:val="24"/>
                <w:lang w:val="lv-LV"/>
              </w:rPr>
              <w:t>VII. Tiesību akta projekta izpildes nodrošināšana un tās ietekme uz institūcijām</w:t>
            </w:r>
          </w:p>
        </w:tc>
      </w:tr>
      <w:tr w:rsidR="00457DC2" w:rsidRPr="00C040C4" w:rsidTr="009E4EDD">
        <w:trPr>
          <w:trHeight w:val="427"/>
        </w:trPr>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1.</w:t>
            </w:r>
          </w:p>
        </w:tc>
        <w:tc>
          <w:tcPr>
            <w:tcW w:w="3052"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Projekta izpildē iesaistītās institūcijas</w:t>
            </w:r>
          </w:p>
        </w:tc>
        <w:tc>
          <w:tcPr>
            <w:tcW w:w="5542"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84434D" w:rsidRDefault="00E32E59" w:rsidP="004A0E68">
            <w:pPr>
              <w:spacing w:after="120"/>
              <w:ind w:left="57" w:right="57"/>
              <w:jc w:val="both"/>
              <w:rPr>
                <w:szCs w:val="24"/>
                <w:lang w:val="lv-LV"/>
              </w:rPr>
            </w:pPr>
            <w:r>
              <w:rPr>
                <w:szCs w:val="24"/>
                <w:lang w:val="lv-LV"/>
              </w:rPr>
              <w:t xml:space="preserve">    </w:t>
            </w:r>
            <w:r w:rsidR="00705E54">
              <w:rPr>
                <w:szCs w:val="24"/>
                <w:lang w:val="lv-LV"/>
              </w:rPr>
              <w:t xml:space="preserve">Ministru kabineta noteikumu projekta </w:t>
            </w:r>
            <w:r w:rsidR="0084434D" w:rsidRPr="0084434D">
              <w:rPr>
                <w:lang w:val="lv-LV"/>
              </w:rPr>
              <w:t>īstenošanā ir iesaistīta</w:t>
            </w:r>
            <w:r w:rsidR="004A0E68">
              <w:rPr>
                <w:lang w:val="lv-LV"/>
              </w:rPr>
              <w:t xml:space="preserve"> </w:t>
            </w:r>
            <w:r w:rsidR="0084434D">
              <w:rPr>
                <w:lang w:val="lv-LV"/>
              </w:rPr>
              <w:t>Ekonomikas</w:t>
            </w:r>
            <w:r w:rsidR="0084434D" w:rsidRPr="0084434D">
              <w:rPr>
                <w:lang w:val="lv-LV"/>
              </w:rPr>
              <w:t xml:space="preserve"> ministrija</w:t>
            </w:r>
            <w:r w:rsidR="00705E54">
              <w:rPr>
                <w:lang w:val="lv-LV"/>
              </w:rPr>
              <w:t xml:space="preserve"> kā</w:t>
            </w:r>
            <w:r w:rsidR="0084434D" w:rsidRPr="0084434D">
              <w:rPr>
                <w:lang w:val="lv-LV"/>
              </w:rPr>
              <w:t xml:space="preserve"> programmas </w:t>
            </w:r>
            <w:r w:rsidR="00705E54">
              <w:rPr>
                <w:lang w:val="lv-LV"/>
              </w:rPr>
              <w:t xml:space="preserve">apsaimniekotājs </w:t>
            </w:r>
            <w:r w:rsidR="0084434D">
              <w:rPr>
                <w:lang w:val="lv-LV"/>
              </w:rPr>
              <w:t>un LIAA</w:t>
            </w:r>
            <w:r w:rsidR="00705E54">
              <w:rPr>
                <w:lang w:val="lv-LV"/>
              </w:rPr>
              <w:t xml:space="preserve"> kā Aģentūra</w:t>
            </w:r>
            <w:r w:rsidR="0084434D">
              <w:rPr>
                <w:lang w:val="lv-LV"/>
              </w:rPr>
              <w:t xml:space="preserve">, kam ir deleģētas Ekonomikas ministrijas funkcijas attiecībā uz </w:t>
            </w:r>
            <w:r w:rsidR="00705E54">
              <w:rPr>
                <w:lang w:val="lv-LV"/>
              </w:rPr>
              <w:t>p</w:t>
            </w:r>
            <w:r w:rsidR="0084434D">
              <w:rPr>
                <w:lang w:val="lv-LV"/>
              </w:rPr>
              <w:t>rogrammas īstenošanu.</w:t>
            </w:r>
          </w:p>
        </w:tc>
      </w:tr>
      <w:tr w:rsidR="00457DC2" w:rsidRPr="00380DA5" w:rsidTr="009E4EDD">
        <w:trPr>
          <w:trHeight w:val="463"/>
        </w:trPr>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2.</w:t>
            </w:r>
          </w:p>
        </w:tc>
        <w:tc>
          <w:tcPr>
            <w:tcW w:w="3052"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Projekta izpildes ietekme uz pārvaldes funkcijām</w:t>
            </w:r>
          </w:p>
        </w:tc>
        <w:tc>
          <w:tcPr>
            <w:tcW w:w="5542" w:type="dxa"/>
            <w:tcBorders>
              <w:top w:val="thickThinLargeGap" w:sz="6" w:space="0" w:color="C0C0C0"/>
              <w:left w:val="thickThinLargeGap" w:sz="6" w:space="0" w:color="C0C0C0"/>
              <w:bottom w:val="thickThinLargeGap" w:sz="6" w:space="0" w:color="C0C0C0"/>
              <w:right w:val="thickThinLargeGap" w:sz="6" w:space="0" w:color="C0C0C0"/>
            </w:tcBorders>
            <w:hideMark/>
          </w:tcPr>
          <w:p w:rsidR="0084434D" w:rsidRPr="0084434D" w:rsidRDefault="0084434D" w:rsidP="00E32E59">
            <w:pPr>
              <w:ind w:firstLine="284"/>
              <w:jc w:val="both"/>
              <w:rPr>
                <w:szCs w:val="24"/>
                <w:lang w:val="lv-LV"/>
              </w:rPr>
            </w:pPr>
            <w:r w:rsidRPr="0084434D">
              <w:rPr>
                <w:szCs w:val="24"/>
                <w:lang w:val="lv-LV"/>
              </w:rPr>
              <w:t>Projekts neietekmē valsts pārvaldes funkcijas.</w:t>
            </w:r>
          </w:p>
          <w:p w:rsidR="00457DC2" w:rsidRPr="00380DA5" w:rsidRDefault="00457DC2">
            <w:pPr>
              <w:tabs>
                <w:tab w:val="left" w:pos="850"/>
              </w:tabs>
              <w:spacing w:after="120"/>
              <w:ind w:left="57" w:right="57"/>
              <w:jc w:val="both"/>
              <w:rPr>
                <w:szCs w:val="24"/>
                <w:lang w:val="lv-LV"/>
              </w:rPr>
            </w:pPr>
          </w:p>
        </w:tc>
      </w:tr>
      <w:tr w:rsidR="00457DC2" w:rsidRPr="00380DA5" w:rsidTr="009E4EDD">
        <w:trPr>
          <w:trHeight w:val="725"/>
        </w:trPr>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3.</w:t>
            </w:r>
          </w:p>
        </w:tc>
        <w:tc>
          <w:tcPr>
            <w:tcW w:w="3052"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rPr>
                <w:szCs w:val="24"/>
                <w:lang w:val="lv-LV"/>
              </w:rPr>
            </w:pPr>
            <w:r w:rsidRPr="00380DA5">
              <w:rPr>
                <w:szCs w:val="24"/>
                <w:lang w:val="lv-LV"/>
              </w:rPr>
              <w:t> Projekta izpildes ietekme uz pārvaldes institucionālo struktūru.</w:t>
            </w:r>
          </w:p>
          <w:p w:rsidR="00457DC2" w:rsidRPr="00380DA5" w:rsidRDefault="00457DC2">
            <w:pPr>
              <w:spacing w:after="75"/>
              <w:rPr>
                <w:szCs w:val="24"/>
                <w:lang w:val="lv-LV"/>
              </w:rPr>
            </w:pPr>
            <w:r w:rsidRPr="00380DA5">
              <w:rPr>
                <w:szCs w:val="24"/>
                <w:lang w:val="lv-LV"/>
              </w:rPr>
              <w:t>Jaunu institūciju izveide</w:t>
            </w:r>
          </w:p>
        </w:tc>
        <w:tc>
          <w:tcPr>
            <w:tcW w:w="5542"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210069" w:rsidP="00196940">
            <w:pPr>
              <w:tabs>
                <w:tab w:val="left" w:pos="850"/>
              </w:tabs>
              <w:spacing w:after="120"/>
              <w:jc w:val="both"/>
              <w:rPr>
                <w:szCs w:val="24"/>
                <w:lang w:val="lv-LV"/>
              </w:rPr>
            </w:pPr>
            <w:r w:rsidRPr="00380DA5">
              <w:rPr>
                <w:szCs w:val="24"/>
                <w:lang w:val="lv-LV"/>
              </w:rPr>
              <w:t xml:space="preserve">    </w:t>
            </w:r>
            <w:r w:rsidR="00E32E59">
              <w:rPr>
                <w:szCs w:val="24"/>
                <w:lang w:val="lv-LV"/>
              </w:rPr>
              <w:t xml:space="preserve"> </w:t>
            </w:r>
            <w:r w:rsidRPr="00380DA5">
              <w:rPr>
                <w:szCs w:val="24"/>
                <w:lang w:val="lv-LV"/>
              </w:rPr>
              <w:t>Net</w:t>
            </w:r>
            <w:r w:rsidR="00196940">
              <w:rPr>
                <w:szCs w:val="24"/>
                <w:lang w:val="lv-LV"/>
              </w:rPr>
              <w:t>iks radītas jaunas institūcijas</w:t>
            </w:r>
            <w:r w:rsidRPr="00380DA5">
              <w:rPr>
                <w:szCs w:val="24"/>
                <w:lang w:val="lv-LV"/>
              </w:rPr>
              <w:t>.</w:t>
            </w:r>
          </w:p>
        </w:tc>
      </w:tr>
      <w:tr w:rsidR="00457DC2" w:rsidRPr="00380DA5" w:rsidTr="009E4EDD">
        <w:trPr>
          <w:trHeight w:val="780"/>
        </w:trPr>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lastRenderedPageBreak/>
              <w:t> 4.</w:t>
            </w:r>
          </w:p>
        </w:tc>
        <w:tc>
          <w:tcPr>
            <w:tcW w:w="3052"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rPr>
                <w:szCs w:val="24"/>
                <w:lang w:val="lv-LV"/>
              </w:rPr>
            </w:pPr>
            <w:r w:rsidRPr="00380DA5">
              <w:rPr>
                <w:szCs w:val="24"/>
                <w:lang w:val="lv-LV"/>
              </w:rPr>
              <w:t> Projekta izpildes ietekme uz pārvaldes institucionālo struktūru.</w:t>
            </w:r>
          </w:p>
          <w:p w:rsidR="00457DC2" w:rsidRPr="00380DA5" w:rsidRDefault="00457DC2">
            <w:pPr>
              <w:spacing w:after="75"/>
              <w:rPr>
                <w:szCs w:val="24"/>
                <w:lang w:val="lv-LV"/>
              </w:rPr>
            </w:pPr>
            <w:r w:rsidRPr="00380DA5">
              <w:rPr>
                <w:szCs w:val="24"/>
                <w:lang w:val="lv-LV"/>
              </w:rPr>
              <w:t>Esošu institūciju likvidācija</w:t>
            </w:r>
          </w:p>
        </w:tc>
        <w:tc>
          <w:tcPr>
            <w:tcW w:w="5542"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210069">
            <w:pPr>
              <w:spacing w:after="120"/>
              <w:ind w:left="57" w:right="57"/>
              <w:jc w:val="both"/>
              <w:rPr>
                <w:szCs w:val="24"/>
                <w:lang w:val="lv-LV"/>
              </w:rPr>
            </w:pPr>
            <w:r w:rsidRPr="00380DA5">
              <w:rPr>
                <w:szCs w:val="24"/>
                <w:lang w:val="lv-LV"/>
              </w:rPr>
              <w:t xml:space="preserve">     N</w:t>
            </w:r>
            <w:r w:rsidR="00457DC2" w:rsidRPr="00380DA5">
              <w:rPr>
                <w:szCs w:val="24"/>
                <w:lang w:val="lv-LV"/>
              </w:rPr>
              <w:t>av plānots likvidēt esošās valsts pārvaldes institūcijas.</w:t>
            </w:r>
          </w:p>
          <w:p w:rsidR="00457DC2" w:rsidRPr="00380DA5" w:rsidRDefault="00457DC2">
            <w:pPr>
              <w:spacing w:after="120"/>
              <w:ind w:left="57" w:right="57"/>
              <w:jc w:val="both"/>
              <w:rPr>
                <w:szCs w:val="24"/>
                <w:lang w:val="lv-LV"/>
              </w:rPr>
            </w:pPr>
          </w:p>
        </w:tc>
      </w:tr>
      <w:tr w:rsidR="00457DC2" w:rsidRPr="00380DA5" w:rsidTr="009E4EDD">
        <w:trPr>
          <w:trHeight w:val="703"/>
        </w:trPr>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5.</w:t>
            </w:r>
          </w:p>
        </w:tc>
        <w:tc>
          <w:tcPr>
            <w:tcW w:w="3052"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Projekta izpildes ietekme uz pārvaldes institucionālo struktūru.</w:t>
            </w:r>
          </w:p>
          <w:p w:rsidR="00457DC2" w:rsidRPr="00380DA5" w:rsidRDefault="00457DC2">
            <w:pPr>
              <w:spacing w:before="75" w:after="75"/>
              <w:rPr>
                <w:szCs w:val="24"/>
                <w:lang w:val="lv-LV"/>
              </w:rPr>
            </w:pPr>
            <w:r w:rsidRPr="00380DA5">
              <w:rPr>
                <w:szCs w:val="24"/>
                <w:lang w:val="lv-LV"/>
              </w:rPr>
              <w:t>Esošu institūciju reorganizācija</w:t>
            </w:r>
          </w:p>
        </w:tc>
        <w:tc>
          <w:tcPr>
            <w:tcW w:w="5542"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210069" w:rsidP="00210069">
            <w:pPr>
              <w:spacing w:after="120"/>
              <w:ind w:firstLine="425"/>
              <w:jc w:val="both"/>
              <w:rPr>
                <w:szCs w:val="24"/>
                <w:lang w:val="lv-LV"/>
              </w:rPr>
            </w:pPr>
            <w:r w:rsidRPr="00380DA5">
              <w:rPr>
                <w:iCs/>
                <w:szCs w:val="24"/>
                <w:lang w:val="lv-LV"/>
              </w:rPr>
              <w:t>Projekts šo jomu neskar. </w:t>
            </w:r>
          </w:p>
        </w:tc>
      </w:tr>
      <w:tr w:rsidR="00457DC2" w:rsidRPr="00380DA5" w:rsidTr="009E4EDD">
        <w:trPr>
          <w:trHeight w:val="476"/>
        </w:trPr>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6.</w:t>
            </w:r>
          </w:p>
        </w:tc>
        <w:tc>
          <w:tcPr>
            <w:tcW w:w="3052"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Cita informācija</w:t>
            </w:r>
          </w:p>
        </w:tc>
        <w:tc>
          <w:tcPr>
            <w:tcW w:w="5542"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rsidP="00210069">
            <w:pPr>
              <w:ind w:firstLine="425"/>
              <w:jc w:val="both"/>
              <w:rPr>
                <w:szCs w:val="24"/>
                <w:lang w:val="lv-LV"/>
              </w:rPr>
            </w:pPr>
            <w:r w:rsidRPr="00380DA5">
              <w:rPr>
                <w:szCs w:val="24"/>
                <w:lang w:val="lv-LV"/>
              </w:rPr>
              <w:t> Nav.</w:t>
            </w:r>
          </w:p>
        </w:tc>
      </w:tr>
    </w:tbl>
    <w:p w:rsidR="00A209C3" w:rsidRDefault="00A209C3">
      <w:pPr>
        <w:pStyle w:val="naisf"/>
        <w:tabs>
          <w:tab w:val="left" w:pos="6710"/>
        </w:tabs>
        <w:spacing w:before="0" w:after="120"/>
        <w:rPr>
          <w:szCs w:val="24"/>
        </w:rPr>
      </w:pPr>
    </w:p>
    <w:p w:rsidR="00C071BE" w:rsidRDefault="00C071BE">
      <w:pPr>
        <w:pStyle w:val="naisf"/>
        <w:tabs>
          <w:tab w:val="left" w:pos="6710"/>
        </w:tabs>
        <w:spacing w:before="0" w:after="120"/>
        <w:rPr>
          <w:szCs w:val="24"/>
        </w:rPr>
      </w:pPr>
    </w:p>
    <w:p w:rsidR="00C071BE" w:rsidRDefault="00C071BE">
      <w:pPr>
        <w:pStyle w:val="naisf"/>
        <w:tabs>
          <w:tab w:val="left" w:pos="6710"/>
        </w:tabs>
        <w:spacing w:before="0" w:after="120"/>
        <w:rPr>
          <w:szCs w:val="24"/>
        </w:rPr>
      </w:pPr>
    </w:p>
    <w:p w:rsidR="00457DC2" w:rsidRPr="00380DA5" w:rsidRDefault="0003151D">
      <w:pPr>
        <w:pStyle w:val="naisf"/>
        <w:tabs>
          <w:tab w:val="left" w:pos="6710"/>
        </w:tabs>
        <w:spacing w:before="0" w:after="120"/>
        <w:rPr>
          <w:szCs w:val="24"/>
        </w:rPr>
      </w:pPr>
      <w:r>
        <w:rPr>
          <w:szCs w:val="24"/>
        </w:rPr>
        <w:t>Ekonomikas ministrs</w:t>
      </w:r>
      <w:r>
        <w:rPr>
          <w:szCs w:val="24"/>
        </w:rPr>
        <w:tab/>
      </w:r>
      <w:r>
        <w:rPr>
          <w:szCs w:val="24"/>
        </w:rPr>
        <w:tab/>
        <w:t xml:space="preserve">      </w:t>
      </w:r>
      <w:proofErr w:type="spellStart"/>
      <w:r w:rsidR="00210069" w:rsidRPr="00380DA5">
        <w:rPr>
          <w:szCs w:val="24"/>
        </w:rPr>
        <w:t>D.Pavļuts</w:t>
      </w:r>
      <w:proofErr w:type="spellEnd"/>
    </w:p>
    <w:p w:rsidR="00457DC2" w:rsidRPr="00380DA5" w:rsidRDefault="00457DC2">
      <w:pPr>
        <w:pStyle w:val="EnvelopeReturn"/>
        <w:spacing w:before="0"/>
        <w:rPr>
          <w:sz w:val="24"/>
          <w:szCs w:val="24"/>
          <w:lang w:val="lv-LV"/>
        </w:rPr>
      </w:pPr>
    </w:p>
    <w:p w:rsidR="00C071BE" w:rsidRDefault="00C071BE" w:rsidP="00AF023D">
      <w:pPr>
        <w:pStyle w:val="EnvelopeReturn"/>
        <w:spacing w:before="0"/>
        <w:rPr>
          <w:sz w:val="24"/>
          <w:szCs w:val="24"/>
          <w:lang w:val="lv-LV"/>
        </w:rPr>
      </w:pPr>
    </w:p>
    <w:p w:rsidR="00C071BE" w:rsidRDefault="00C071BE" w:rsidP="00AF023D">
      <w:pPr>
        <w:pStyle w:val="EnvelopeReturn"/>
        <w:spacing w:before="0"/>
        <w:rPr>
          <w:sz w:val="24"/>
          <w:szCs w:val="24"/>
          <w:lang w:val="lv-LV"/>
        </w:rPr>
      </w:pPr>
    </w:p>
    <w:p w:rsidR="00C071BE" w:rsidRDefault="00C071BE" w:rsidP="00AF023D">
      <w:pPr>
        <w:pStyle w:val="EnvelopeReturn"/>
        <w:spacing w:before="0"/>
        <w:rPr>
          <w:sz w:val="24"/>
          <w:szCs w:val="24"/>
          <w:lang w:val="lv-LV"/>
        </w:rPr>
      </w:pPr>
    </w:p>
    <w:p w:rsidR="00457DC2" w:rsidRPr="00380DA5" w:rsidRDefault="00457DC2" w:rsidP="00AF023D">
      <w:pPr>
        <w:pStyle w:val="EnvelopeReturn"/>
        <w:spacing w:before="0"/>
        <w:rPr>
          <w:sz w:val="24"/>
          <w:szCs w:val="24"/>
          <w:lang w:val="lv-LV"/>
        </w:rPr>
      </w:pPr>
      <w:r w:rsidRPr="00380DA5">
        <w:rPr>
          <w:sz w:val="24"/>
          <w:szCs w:val="24"/>
          <w:lang w:val="lv-LV"/>
        </w:rPr>
        <w:t>Vīza: Valsts sekretārs</w:t>
      </w:r>
      <w:r w:rsidRPr="00380DA5">
        <w:rPr>
          <w:sz w:val="24"/>
          <w:szCs w:val="24"/>
          <w:lang w:val="lv-LV"/>
        </w:rPr>
        <w:tab/>
      </w:r>
      <w:r w:rsidRPr="00380DA5">
        <w:rPr>
          <w:sz w:val="24"/>
          <w:szCs w:val="24"/>
          <w:lang w:val="lv-LV"/>
        </w:rPr>
        <w:tab/>
      </w:r>
      <w:r w:rsidRPr="00380DA5">
        <w:rPr>
          <w:sz w:val="24"/>
          <w:szCs w:val="24"/>
          <w:lang w:val="lv-LV"/>
        </w:rPr>
        <w:tab/>
      </w:r>
      <w:r w:rsidRPr="00380DA5">
        <w:rPr>
          <w:sz w:val="24"/>
          <w:szCs w:val="24"/>
          <w:lang w:val="lv-LV"/>
        </w:rPr>
        <w:tab/>
      </w:r>
      <w:r w:rsidRPr="00380DA5">
        <w:rPr>
          <w:sz w:val="24"/>
          <w:szCs w:val="24"/>
          <w:lang w:val="lv-LV"/>
        </w:rPr>
        <w:tab/>
      </w:r>
      <w:r w:rsidRPr="00380DA5">
        <w:rPr>
          <w:sz w:val="24"/>
          <w:szCs w:val="24"/>
          <w:lang w:val="lv-LV"/>
        </w:rPr>
        <w:tab/>
      </w:r>
      <w:r w:rsidRPr="00380DA5">
        <w:rPr>
          <w:sz w:val="24"/>
          <w:szCs w:val="24"/>
          <w:lang w:val="lv-LV"/>
        </w:rPr>
        <w:tab/>
        <w:t xml:space="preserve">       </w:t>
      </w:r>
      <w:r w:rsidRPr="00380DA5">
        <w:rPr>
          <w:sz w:val="24"/>
          <w:szCs w:val="24"/>
          <w:lang w:val="lv-LV"/>
        </w:rPr>
        <w:tab/>
        <w:t xml:space="preserve">      J.Pūce</w:t>
      </w:r>
    </w:p>
    <w:p w:rsidR="00AF023D" w:rsidRDefault="00AF023D" w:rsidP="00AF023D">
      <w:pPr>
        <w:jc w:val="both"/>
        <w:rPr>
          <w:color w:val="000000"/>
          <w:sz w:val="20"/>
          <w:lang w:val="lv-LV"/>
        </w:rPr>
      </w:pPr>
    </w:p>
    <w:p w:rsidR="00C071BE" w:rsidRDefault="00C071BE" w:rsidP="00AF023D">
      <w:pPr>
        <w:jc w:val="both"/>
        <w:rPr>
          <w:color w:val="000000"/>
          <w:sz w:val="20"/>
          <w:lang w:val="lv-LV"/>
        </w:rPr>
      </w:pPr>
    </w:p>
    <w:p w:rsidR="00C071BE" w:rsidRDefault="00C071BE" w:rsidP="00AF023D">
      <w:pPr>
        <w:jc w:val="both"/>
        <w:rPr>
          <w:color w:val="000000"/>
          <w:sz w:val="20"/>
          <w:lang w:val="lv-LV"/>
        </w:rPr>
      </w:pPr>
    </w:p>
    <w:p w:rsidR="00C071BE" w:rsidRDefault="00C071BE" w:rsidP="00AF023D">
      <w:pPr>
        <w:jc w:val="both"/>
        <w:rPr>
          <w:color w:val="000000"/>
          <w:sz w:val="20"/>
          <w:lang w:val="lv-LV"/>
        </w:rPr>
      </w:pPr>
    </w:p>
    <w:p w:rsidR="009624D8" w:rsidRPr="00D97559" w:rsidRDefault="008D2D07" w:rsidP="00AF023D">
      <w:pPr>
        <w:jc w:val="both"/>
        <w:rPr>
          <w:b/>
          <w:color w:val="000000"/>
          <w:sz w:val="20"/>
          <w:lang w:val="lv-LV"/>
        </w:rPr>
      </w:pPr>
      <w:r>
        <w:rPr>
          <w:color w:val="000000"/>
          <w:sz w:val="20"/>
          <w:lang w:val="lv-LV"/>
        </w:rPr>
        <w:t>19</w:t>
      </w:r>
      <w:r w:rsidR="002640CF">
        <w:rPr>
          <w:color w:val="000000"/>
          <w:sz w:val="20"/>
          <w:lang w:val="lv-LV"/>
        </w:rPr>
        <w:t>.</w:t>
      </w:r>
      <w:r w:rsidR="00D84F9E">
        <w:rPr>
          <w:color w:val="000000"/>
          <w:sz w:val="20"/>
          <w:lang w:val="lv-LV"/>
        </w:rPr>
        <w:t>0</w:t>
      </w:r>
      <w:r w:rsidR="005631A6">
        <w:rPr>
          <w:color w:val="000000"/>
          <w:sz w:val="20"/>
          <w:lang w:val="lv-LV"/>
        </w:rPr>
        <w:t>3</w:t>
      </w:r>
      <w:r w:rsidR="002640CF">
        <w:rPr>
          <w:color w:val="000000"/>
          <w:sz w:val="20"/>
          <w:lang w:val="lv-LV"/>
        </w:rPr>
        <w:t>.201</w:t>
      </w:r>
      <w:r w:rsidR="00D84F9E">
        <w:rPr>
          <w:color w:val="000000"/>
          <w:sz w:val="20"/>
          <w:lang w:val="lv-LV"/>
        </w:rPr>
        <w:t>3</w:t>
      </w:r>
      <w:r w:rsidR="002640CF">
        <w:rPr>
          <w:color w:val="000000"/>
          <w:sz w:val="20"/>
          <w:lang w:val="lv-LV"/>
        </w:rPr>
        <w:t xml:space="preserve"> </w:t>
      </w:r>
      <w:r w:rsidR="003D6706">
        <w:rPr>
          <w:color w:val="000000"/>
          <w:sz w:val="20"/>
          <w:lang w:val="lv-LV"/>
        </w:rPr>
        <w:t>1</w:t>
      </w:r>
      <w:r>
        <w:rPr>
          <w:color w:val="000000"/>
          <w:sz w:val="20"/>
          <w:lang w:val="lv-LV"/>
        </w:rPr>
        <w:t>5</w:t>
      </w:r>
      <w:r w:rsidR="004E7656">
        <w:rPr>
          <w:color w:val="000000"/>
          <w:sz w:val="20"/>
          <w:lang w:val="lv-LV"/>
        </w:rPr>
        <w:t>:</w:t>
      </w:r>
      <w:r>
        <w:rPr>
          <w:color w:val="000000"/>
          <w:sz w:val="20"/>
          <w:lang w:val="lv-LV"/>
        </w:rPr>
        <w:t>4</w:t>
      </w:r>
      <w:r w:rsidR="00C071BE">
        <w:rPr>
          <w:color w:val="000000"/>
          <w:sz w:val="20"/>
          <w:lang w:val="lv-LV"/>
        </w:rPr>
        <w:t>7</w:t>
      </w:r>
      <w:bookmarkStart w:id="4" w:name="_GoBack"/>
      <w:bookmarkEnd w:id="4"/>
    </w:p>
    <w:p w:rsidR="00292565" w:rsidRDefault="003D6706" w:rsidP="00AF023D">
      <w:pPr>
        <w:jc w:val="both"/>
        <w:rPr>
          <w:color w:val="000000"/>
          <w:sz w:val="20"/>
          <w:lang w:val="lv-LV"/>
        </w:rPr>
      </w:pPr>
      <w:r>
        <w:rPr>
          <w:color w:val="000000"/>
          <w:sz w:val="20"/>
          <w:lang w:val="lv-LV"/>
        </w:rPr>
        <w:t>3</w:t>
      </w:r>
      <w:r w:rsidR="008D2D07">
        <w:rPr>
          <w:color w:val="000000"/>
          <w:sz w:val="20"/>
          <w:lang w:val="lv-LV"/>
        </w:rPr>
        <w:t>715</w:t>
      </w:r>
    </w:p>
    <w:p w:rsidR="00705E54" w:rsidRDefault="00705E54" w:rsidP="00AF023D">
      <w:pPr>
        <w:jc w:val="both"/>
        <w:rPr>
          <w:color w:val="000000"/>
          <w:sz w:val="20"/>
          <w:lang w:val="lv-LV"/>
        </w:rPr>
      </w:pPr>
      <w:r>
        <w:rPr>
          <w:color w:val="000000"/>
          <w:sz w:val="20"/>
          <w:lang w:val="lv-LV"/>
        </w:rPr>
        <w:t>D</w:t>
      </w:r>
      <w:r w:rsidR="00250D48">
        <w:rPr>
          <w:color w:val="000000"/>
          <w:sz w:val="20"/>
          <w:lang w:val="lv-LV"/>
        </w:rPr>
        <w:t>.</w:t>
      </w:r>
      <w:r>
        <w:rPr>
          <w:color w:val="000000"/>
          <w:sz w:val="20"/>
          <w:lang w:val="lv-LV"/>
        </w:rPr>
        <w:t>Buse</w:t>
      </w:r>
    </w:p>
    <w:p w:rsidR="00210069" w:rsidRPr="004B111A" w:rsidRDefault="00210069" w:rsidP="00AF023D">
      <w:pPr>
        <w:jc w:val="both"/>
        <w:rPr>
          <w:sz w:val="20"/>
          <w:lang w:val="lv-LV"/>
        </w:rPr>
      </w:pPr>
      <w:r w:rsidRPr="004B111A">
        <w:rPr>
          <w:color w:val="000000"/>
          <w:sz w:val="20"/>
          <w:lang w:val="lv-LV"/>
        </w:rPr>
        <w:t>67013</w:t>
      </w:r>
      <w:r w:rsidR="00705E54">
        <w:rPr>
          <w:color w:val="000000"/>
          <w:sz w:val="20"/>
          <w:lang w:val="lv-LV"/>
        </w:rPr>
        <w:t>298</w:t>
      </w:r>
      <w:r w:rsidRPr="004B111A">
        <w:rPr>
          <w:color w:val="000000"/>
          <w:sz w:val="20"/>
          <w:lang w:val="lv-LV"/>
        </w:rPr>
        <w:t xml:space="preserve">, </w:t>
      </w:r>
      <w:r w:rsidR="00705E54">
        <w:rPr>
          <w:color w:val="000000"/>
          <w:sz w:val="20"/>
          <w:lang w:val="lv-LV"/>
        </w:rPr>
        <w:t>Dina.Buse</w:t>
      </w:r>
      <w:r w:rsidRPr="004B111A">
        <w:rPr>
          <w:sz w:val="20"/>
          <w:lang w:val="lv-LV"/>
        </w:rPr>
        <w:t>@em.gov.lv</w:t>
      </w:r>
    </w:p>
    <w:sectPr w:rsidR="00210069" w:rsidRPr="004B111A" w:rsidSect="009E4EDD">
      <w:headerReference w:type="default" r:id="rId9"/>
      <w:footerReference w:type="default" r:id="rId10"/>
      <w:footerReference w:type="first" r:id="rId11"/>
      <w:pgSz w:w="11906" w:h="16838"/>
      <w:pgMar w:top="1418" w:right="1134" w:bottom="1134" w:left="1701" w:header="720"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DF2" w:rsidRDefault="00381DF2">
      <w:r>
        <w:separator/>
      </w:r>
    </w:p>
  </w:endnote>
  <w:endnote w:type="continuationSeparator" w:id="0">
    <w:p w:rsidR="00381DF2" w:rsidRDefault="00381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DF2" w:rsidRPr="00861F8F" w:rsidRDefault="00381DF2" w:rsidP="00861F8F">
    <w:pPr>
      <w:ind w:right="74"/>
      <w:jc w:val="both"/>
      <w:rPr>
        <w:sz w:val="20"/>
      </w:rPr>
    </w:pPr>
    <w:r w:rsidRPr="00861F8F">
      <w:rPr>
        <w:sz w:val="20"/>
      </w:rPr>
      <w:t>EMAnot_</w:t>
    </w:r>
    <w:r w:rsidR="00A7629D">
      <w:rPr>
        <w:sz w:val="20"/>
      </w:rPr>
      <w:t>1</w:t>
    </w:r>
    <w:r w:rsidR="008D2D07">
      <w:rPr>
        <w:sz w:val="20"/>
      </w:rPr>
      <w:t>9</w:t>
    </w:r>
    <w:r w:rsidRPr="00861F8F">
      <w:rPr>
        <w:sz w:val="20"/>
      </w:rPr>
      <w:t xml:space="preserve">032013_NOR_programma; </w:t>
    </w:r>
    <w:proofErr w:type="spellStart"/>
    <w:r w:rsidRPr="00861F8F">
      <w:rPr>
        <w:sz w:val="20"/>
      </w:rPr>
      <w:t>Ministru</w:t>
    </w:r>
    <w:proofErr w:type="spellEnd"/>
    <w:r w:rsidRPr="00861F8F">
      <w:rPr>
        <w:sz w:val="20"/>
      </w:rPr>
      <w:t xml:space="preserve"> </w:t>
    </w:r>
    <w:proofErr w:type="spellStart"/>
    <w:r w:rsidRPr="00861F8F">
      <w:rPr>
        <w:sz w:val="20"/>
      </w:rPr>
      <w:t>kabineta</w:t>
    </w:r>
    <w:proofErr w:type="spellEnd"/>
    <w:r w:rsidRPr="00861F8F">
      <w:rPr>
        <w:sz w:val="20"/>
      </w:rPr>
      <w:t xml:space="preserve"> </w:t>
    </w:r>
    <w:proofErr w:type="spellStart"/>
    <w:r w:rsidRPr="00861F8F">
      <w:rPr>
        <w:sz w:val="20"/>
      </w:rPr>
      <w:t>noteikumu</w:t>
    </w:r>
    <w:proofErr w:type="spellEnd"/>
    <w:r w:rsidRPr="00861F8F">
      <w:rPr>
        <w:sz w:val="20"/>
      </w:rPr>
      <w:t xml:space="preserve"> </w:t>
    </w:r>
    <w:proofErr w:type="spellStart"/>
    <w:r w:rsidRPr="00861F8F">
      <w:rPr>
        <w:sz w:val="20"/>
      </w:rPr>
      <w:t>projekta</w:t>
    </w:r>
    <w:proofErr w:type="spellEnd"/>
    <w:r w:rsidRPr="00861F8F">
      <w:rPr>
        <w:sz w:val="20"/>
      </w:rPr>
      <w:t xml:space="preserve">  „</w:t>
    </w:r>
    <w:proofErr w:type="spellStart"/>
    <w:r w:rsidRPr="00861F8F">
      <w:rPr>
        <w:sz w:val="20"/>
      </w:rPr>
      <w:t>Programmas</w:t>
    </w:r>
    <w:proofErr w:type="spellEnd"/>
    <w:r w:rsidRPr="00861F8F">
      <w:rPr>
        <w:sz w:val="20"/>
      </w:rPr>
      <w:t xml:space="preserve"> „</w:t>
    </w:r>
    <w:proofErr w:type="spellStart"/>
    <w:r w:rsidRPr="00861F8F">
      <w:rPr>
        <w:sz w:val="20"/>
      </w:rPr>
      <w:t>Inovācijas</w:t>
    </w:r>
    <w:proofErr w:type="spellEnd"/>
    <w:r w:rsidRPr="00861F8F">
      <w:rPr>
        <w:sz w:val="20"/>
      </w:rPr>
      <w:t xml:space="preserve"> „</w:t>
    </w:r>
    <w:proofErr w:type="spellStart"/>
    <w:r w:rsidRPr="00861F8F">
      <w:rPr>
        <w:sz w:val="20"/>
      </w:rPr>
      <w:t>zaļās</w:t>
    </w:r>
    <w:proofErr w:type="spellEnd"/>
    <w:r w:rsidRPr="00861F8F">
      <w:rPr>
        <w:sz w:val="20"/>
      </w:rPr>
      <w:t xml:space="preserve">” </w:t>
    </w:r>
    <w:proofErr w:type="spellStart"/>
    <w:r w:rsidRPr="00861F8F">
      <w:rPr>
        <w:sz w:val="20"/>
      </w:rPr>
      <w:t>ražošanas</w:t>
    </w:r>
    <w:proofErr w:type="spellEnd"/>
    <w:r w:rsidRPr="00861F8F">
      <w:rPr>
        <w:sz w:val="20"/>
      </w:rPr>
      <w:t xml:space="preserve"> </w:t>
    </w:r>
    <w:proofErr w:type="spellStart"/>
    <w:r w:rsidRPr="00861F8F">
      <w:rPr>
        <w:sz w:val="20"/>
      </w:rPr>
      <w:t>jomā</w:t>
    </w:r>
    <w:proofErr w:type="spellEnd"/>
    <w:r w:rsidRPr="00861F8F">
      <w:rPr>
        <w:sz w:val="20"/>
      </w:rPr>
      <w:t xml:space="preserve">” </w:t>
    </w:r>
    <w:proofErr w:type="spellStart"/>
    <w:r w:rsidRPr="00861F8F">
      <w:rPr>
        <w:sz w:val="20"/>
      </w:rPr>
      <w:t>īstenošanas</w:t>
    </w:r>
    <w:proofErr w:type="spellEnd"/>
    <w:r w:rsidRPr="00861F8F">
      <w:rPr>
        <w:sz w:val="20"/>
      </w:rPr>
      <w:t xml:space="preserve"> </w:t>
    </w:r>
    <w:proofErr w:type="spellStart"/>
    <w:r w:rsidRPr="00861F8F">
      <w:rPr>
        <w:sz w:val="20"/>
      </w:rPr>
      <w:t>kārtība</w:t>
    </w:r>
    <w:proofErr w:type="spellEnd"/>
    <w:r w:rsidRPr="00861F8F">
      <w:rPr>
        <w:sz w:val="20"/>
      </w:rPr>
      <w:t xml:space="preserve">” </w:t>
    </w:r>
    <w:proofErr w:type="spellStart"/>
    <w:r w:rsidRPr="00861F8F">
      <w:rPr>
        <w:sz w:val="20"/>
      </w:rPr>
      <w:t>sākotnējās</w:t>
    </w:r>
    <w:proofErr w:type="spellEnd"/>
    <w:r w:rsidRPr="00861F8F">
      <w:rPr>
        <w:sz w:val="20"/>
      </w:rPr>
      <w:t xml:space="preserve"> </w:t>
    </w:r>
    <w:proofErr w:type="spellStart"/>
    <w:r w:rsidRPr="00861F8F">
      <w:rPr>
        <w:sz w:val="20"/>
      </w:rPr>
      <w:t>ietekmes</w:t>
    </w:r>
    <w:proofErr w:type="spellEnd"/>
    <w:r w:rsidRPr="00861F8F">
      <w:rPr>
        <w:sz w:val="20"/>
      </w:rPr>
      <w:t xml:space="preserve"> </w:t>
    </w:r>
    <w:proofErr w:type="spellStart"/>
    <w:r w:rsidRPr="00861F8F">
      <w:rPr>
        <w:sz w:val="20"/>
      </w:rPr>
      <w:t>novērtējuma</w:t>
    </w:r>
    <w:proofErr w:type="spellEnd"/>
    <w:r w:rsidRPr="00861F8F">
      <w:rPr>
        <w:sz w:val="20"/>
      </w:rPr>
      <w:t xml:space="preserve"> </w:t>
    </w:r>
    <w:proofErr w:type="spellStart"/>
    <w:r w:rsidRPr="00861F8F">
      <w:rPr>
        <w:sz w:val="20"/>
      </w:rPr>
      <w:t>ziņojums</w:t>
    </w:r>
    <w:proofErr w:type="spellEnd"/>
    <w:r w:rsidRPr="00861F8F">
      <w:rPr>
        <w:sz w:val="20"/>
      </w:rPr>
      <w:t xml:space="preserve"> (</w:t>
    </w:r>
    <w:proofErr w:type="spellStart"/>
    <w:r w:rsidRPr="00861F8F">
      <w:rPr>
        <w:sz w:val="20"/>
      </w:rPr>
      <w:t>anotācija</w:t>
    </w:r>
    <w:proofErr w:type="spellEnd"/>
    <w:r>
      <w:rPr>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DF2" w:rsidRPr="00D623B7" w:rsidRDefault="00381DF2" w:rsidP="00D623B7">
    <w:pPr>
      <w:ind w:right="74"/>
      <w:jc w:val="both"/>
      <w:rPr>
        <w:sz w:val="20"/>
      </w:rPr>
    </w:pPr>
    <w:r w:rsidRPr="00D623B7">
      <w:rPr>
        <w:sz w:val="20"/>
      </w:rPr>
      <w:t>EMAnot_</w:t>
    </w:r>
    <w:r w:rsidR="00215C09">
      <w:rPr>
        <w:sz w:val="20"/>
      </w:rPr>
      <w:t>1</w:t>
    </w:r>
    <w:r w:rsidR="008D2D07">
      <w:rPr>
        <w:sz w:val="20"/>
      </w:rPr>
      <w:t>9</w:t>
    </w:r>
    <w:r w:rsidRPr="00D623B7">
      <w:rPr>
        <w:sz w:val="20"/>
      </w:rPr>
      <w:t>0</w:t>
    </w:r>
    <w:r>
      <w:rPr>
        <w:sz w:val="20"/>
      </w:rPr>
      <w:t>3</w:t>
    </w:r>
    <w:r w:rsidRPr="00D623B7">
      <w:rPr>
        <w:sz w:val="20"/>
      </w:rPr>
      <w:t xml:space="preserve">2013_NOR_programma; </w:t>
    </w:r>
    <w:proofErr w:type="spellStart"/>
    <w:r w:rsidRPr="00D623B7">
      <w:rPr>
        <w:sz w:val="20"/>
      </w:rPr>
      <w:t>Ministru</w:t>
    </w:r>
    <w:proofErr w:type="spellEnd"/>
    <w:r w:rsidRPr="00D623B7">
      <w:rPr>
        <w:sz w:val="20"/>
      </w:rPr>
      <w:t xml:space="preserve"> </w:t>
    </w:r>
    <w:proofErr w:type="spellStart"/>
    <w:r w:rsidRPr="00D623B7">
      <w:rPr>
        <w:sz w:val="20"/>
      </w:rPr>
      <w:t>kabineta</w:t>
    </w:r>
    <w:proofErr w:type="spellEnd"/>
    <w:r w:rsidRPr="00D623B7">
      <w:rPr>
        <w:sz w:val="20"/>
      </w:rPr>
      <w:t xml:space="preserve"> </w:t>
    </w:r>
    <w:proofErr w:type="spellStart"/>
    <w:r w:rsidRPr="00D623B7">
      <w:rPr>
        <w:sz w:val="20"/>
      </w:rPr>
      <w:t>noteikumu</w:t>
    </w:r>
    <w:proofErr w:type="spellEnd"/>
    <w:r w:rsidRPr="00D623B7">
      <w:rPr>
        <w:sz w:val="20"/>
      </w:rPr>
      <w:t xml:space="preserve"> </w:t>
    </w:r>
    <w:proofErr w:type="spellStart"/>
    <w:r w:rsidRPr="00D623B7">
      <w:rPr>
        <w:sz w:val="20"/>
      </w:rPr>
      <w:t>projekta</w:t>
    </w:r>
    <w:proofErr w:type="spellEnd"/>
    <w:r w:rsidRPr="00D623B7">
      <w:rPr>
        <w:sz w:val="20"/>
      </w:rPr>
      <w:t xml:space="preserve">  „</w:t>
    </w:r>
    <w:proofErr w:type="spellStart"/>
    <w:r w:rsidRPr="00D623B7">
      <w:rPr>
        <w:sz w:val="20"/>
      </w:rPr>
      <w:t>Programmas</w:t>
    </w:r>
    <w:proofErr w:type="spellEnd"/>
    <w:r w:rsidRPr="00D623B7">
      <w:rPr>
        <w:sz w:val="20"/>
      </w:rPr>
      <w:t xml:space="preserve"> „</w:t>
    </w:r>
    <w:proofErr w:type="spellStart"/>
    <w:r w:rsidRPr="00D623B7">
      <w:rPr>
        <w:sz w:val="20"/>
      </w:rPr>
      <w:t>Inovācijas</w:t>
    </w:r>
    <w:proofErr w:type="spellEnd"/>
    <w:r w:rsidRPr="00D623B7">
      <w:rPr>
        <w:sz w:val="20"/>
      </w:rPr>
      <w:t xml:space="preserve"> „</w:t>
    </w:r>
    <w:proofErr w:type="spellStart"/>
    <w:r w:rsidRPr="00D623B7">
      <w:rPr>
        <w:sz w:val="20"/>
      </w:rPr>
      <w:t>zaļās</w:t>
    </w:r>
    <w:proofErr w:type="spellEnd"/>
    <w:r w:rsidRPr="00D623B7">
      <w:rPr>
        <w:sz w:val="20"/>
      </w:rPr>
      <w:t xml:space="preserve">” </w:t>
    </w:r>
    <w:proofErr w:type="spellStart"/>
    <w:r w:rsidRPr="00D623B7">
      <w:rPr>
        <w:sz w:val="20"/>
      </w:rPr>
      <w:t>ražošanas</w:t>
    </w:r>
    <w:proofErr w:type="spellEnd"/>
    <w:r w:rsidRPr="00D623B7">
      <w:rPr>
        <w:sz w:val="20"/>
      </w:rPr>
      <w:t xml:space="preserve"> </w:t>
    </w:r>
    <w:proofErr w:type="spellStart"/>
    <w:r w:rsidRPr="00D623B7">
      <w:rPr>
        <w:sz w:val="20"/>
      </w:rPr>
      <w:t>jomā</w:t>
    </w:r>
    <w:proofErr w:type="spellEnd"/>
    <w:r w:rsidRPr="00D623B7">
      <w:rPr>
        <w:sz w:val="20"/>
      </w:rPr>
      <w:t xml:space="preserve">” </w:t>
    </w:r>
    <w:proofErr w:type="spellStart"/>
    <w:r w:rsidRPr="00D623B7">
      <w:rPr>
        <w:sz w:val="20"/>
      </w:rPr>
      <w:t>īstenošanas</w:t>
    </w:r>
    <w:proofErr w:type="spellEnd"/>
    <w:r w:rsidRPr="00D623B7">
      <w:rPr>
        <w:sz w:val="20"/>
      </w:rPr>
      <w:t xml:space="preserve"> </w:t>
    </w:r>
    <w:proofErr w:type="spellStart"/>
    <w:r w:rsidRPr="00D623B7">
      <w:rPr>
        <w:sz w:val="20"/>
      </w:rPr>
      <w:t>kārtība</w:t>
    </w:r>
    <w:proofErr w:type="spellEnd"/>
    <w:r w:rsidRPr="00D623B7">
      <w:rPr>
        <w:sz w:val="20"/>
      </w:rPr>
      <w:t xml:space="preserve">” </w:t>
    </w:r>
    <w:proofErr w:type="spellStart"/>
    <w:r w:rsidRPr="00D623B7">
      <w:rPr>
        <w:sz w:val="20"/>
      </w:rPr>
      <w:t>sākotnējās</w:t>
    </w:r>
    <w:proofErr w:type="spellEnd"/>
    <w:r w:rsidRPr="00D623B7">
      <w:rPr>
        <w:sz w:val="20"/>
      </w:rPr>
      <w:t xml:space="preserve"> </w:t>
    </w:r>
    <w:proofErr w:type="spellStart"/>
    <w:r w:rsidRPr="00D623B7">
      <w:rPr>
        <w:sz w:val="20"/>
      </w:rPr>
      <w:t>ietekmes</w:t>
    </w:r>
    <w:proofErr w:type="spellEnd"/>
    <w:r w:rsidRPr="00D623B7">
      <w:rPr>
        <w:sz w:val="20"/>
      </w:rPr>
      <w:t xml:space="preserve"> </w:t>
    </w:r>
    <w:proofErr w:type="spellStart"/>
    <w:r w:rsidRPr="00D623B7">
      <w:rPr>
        <w:sz w:val="20"/>
      </w:rPr>
      <w:t>novērtējuma</w:t>
    </w:r>
    <w:proofErr w:type="spellEnd"/>
    <w:r w:rsidRPr="00D623B7">
      <w:rPr>
        <w:sz w:val="20"/>
      </w:rPr>
      <w:t xml:space="preserve"> </w:t>
    </w:r>
    <w:proofErr w:type="spellStart"/>
    <w:r w:rsidRPr="00D623B7">
      <w:rPr>
        <w:sz w:val="20"/>
      </w:rPr>
      <w:t>ziņojums</w:t>
    </w:r>
    <w:proofErr w:type="spellEnd"/>
    <w:r w:rsidRPr="00D623B7">
      <w:rPr>
        <w:sz w:val="20"/>
      </w:rPr>
      <w:t xml:space="preserve"> (</w:t>
    </w:r>
    <w:proofErr w:type="spellStart"/>
    <w:r w:rsidRPr="00D623B7">
      <w:rPr>
        <w:sz w:val="20"/>
      </w:rPr>
      <w:t>anotācija</w:t>
    </w:r>
    <w:proofErr w:type="spellEnd"/>
    <w:r w:rsidRPr="00D623B7">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DF2" w:rsidRDefault="00381DF2">
      <w:r>
        <w:separator/>
      </w:r>
    </w:p>
  </w:footnote>
  <w:footnote w:type="continuationSeparator" w:id="0">
    <w:p w:rsidR="00381DF2" w:rsidRDefault="00381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DF2" w:rsidRDefault="00381DF2">
    <w:pPr>
      <w:pStyle w:val="Header"/>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sidR="00C071BE">
      <w:rPr>
        <w:rFonts w:ascii="Times New Roman" w:hAnsi="Times New Roman"/>
        <w:noProof/>
        <w:sz w:val="24"/>
      </w:rPr>
      <w:t>16</w:t>
    </w:r>
    <w:r>
      <w:rPr>
        <w:rFonts w:ascii="Times New Roman" w:hAnsi="Times New Roman"/>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145A7"/>
    <w:multiLevelType w:val="multilevel"/>
    <w:tmpl w:val="A5D446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5F935CC7"/>
    <w:multiLevelType w:val="hybridMultilevel"/>
    <w:tmpl w:val="28A0ED0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74C04441"/>
    <w:multiLevelType w:val="hybridMultilevel"/>
    <w:tmpl w:val="8CAC1996"/>
    <w:lvl w:ilvl="0" w:tplc="0C14D5C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57DC2"/>
    <w:rsid w:val="00002692"/>
    <w:rsid w:val="00014ABD"/>
    <w:rsid w:val="00016FD6"/>
    <w:rsid w:val="0002715E"/>
    <w:rsid w:val="0003151D"/>
    <w:rsid w:val="00031562"/>
    <w:rsid w:val="00033580"/>
    <w:rsid w:val="00041B7B"/>
    <w:rsid w:val="00044983"/>
    <w:rsid w:val="00046C6D"/>
    <w:rsid w:val="000502E6"/>
    <w:rsid w:val="000540D2"/>
    <w:rsid w:val="0005594A"/>
    <w:rsid w:val="00056F82"/>
    <w:rsid w:val="0007371C"/>
    <w:rsid w:val="00073D65"/>
    <w:rsid w:val="00074DD0"/>
    <w:rsid w:val="000751FF"/>
    <w:rsid w:val="000838BC"/>
    <w:rsid w:val="000966DA"/>
    <w:rsid w:val="00096A6E"/>
    <w:rsid w:val="000A51F6"/>
    <w:rsid w:val="000A53B5"/>
    <w:rsid w:val="000B3FA5"/>
    <w:rsid w:val="000B5824"/>
    <w:rsid w:val="000D2AA5"/>
    <w:rsid w:val="000F4002"/>
    <w:rsid w:val="00101B38"/>
    <w:rsid w:val="0010696E"/>
    <w:rsid w:val="00120876"/>
    <w:rsid w:val="00123863"/>
    <w:rsid w:val="00124C56"/>
    <w:rsid w:val="00125AF0"/>
    <w:rsid w:val="00127A7F"/>
    <w:rsid w:val="00132AFC"/>
    <w:rsid w:val="00141075"/>
    <w:rsid w:val="001516D2"/>
    <w:rsid w:val="0015728B"/>
    <w:rsid w:val="00166844"/>
    <w:rsid w:val="001765D4"/>
    <w:rsid w:val="001849A1"/>
    <w:rsid w:val="00185D87"/>
    <w:rsid w:val="00192EF1"/>
    <w:rsid w:val="00196940"/>
    <w:rsid w:val="001A4937"/>
    <w:rsid w:val="001B1B8F"/>
    <w:rsid w:val="001B2FDE"/>
    <w:rsid w:val="001B3EB1"/>
    <w:rsid w:val="001D1332"/>
    <w:rsid w:val="001D28A8"/>
    <w:rsid w:val="001D5DE7"/>
    <w:rsid w:val="001D5F20"/>
    <w:rsid w:val="001E0483"/>
    <w:rsid w:val="001F6642"/>
    <w:rsid w:val="001F7874"/>
    <w:rsid w:val="00200CB1"/>
    <w:rsid w:val="002032D1"/>
    <w:rsid w:val="00210069"/>
    <w:rsid w:val="00210ED7"/>
    <w:rsid w:val="00215C09"/>
    <w:rsid w:val="00237146"/>
    <w:rsid w:val="002371EC"/>
    <w:rsid w:val="00250D48"/>
    <w:rsid w:val="0025234B"/>
    <w:rsid w:val="00260CB5"/>
    <w:rsid w:val="002640CF"/>
    <w:rsid w:val="002661F7"/>
    <w:rsid w:val="0027264D"/>
    <w:rsid w:val="0028282B"/>
    <w:rsid w:val="00285C72"/>
    <w:rsid w:val="00292565"/>
    <w:rsid w:val="00296DF1"/>
    <w:rsid w:val="002A7DFB"/>
    <w:rsid w:val="002B4EF6"/>
    <w:rsid w:val="002C7B46"/>
    <w:rsid w:val="002D68E9"/>
    <w:rsid w:val="002E47C8"/>
    <w:rsid w:val="002F1304"/>
    <w:rsid w:val="002F59CD"/>
    <w:rsid w:val="002F5A8E"/>
    <w:rsid w:val="003051A4"/>
    <w:rsid w:val="0031022E"/>
    <w:rsid w:val="00312D4E"/>
    <w:rsid w:val="00320389"/>
    <w:rsid w:val="00326378"/>
    <w:rsid w:val="00327F90"/>
    <w:rsid w:val="00332E30"/>
    <w:rsid w:val="00340C6E"/>
    <w:rsid w:val="003455D4"/>
    <w:rsid w:val="00357439"/>
    <w:rsid w:val="003608D8"/>
    <w:rsid w:val="00367E35"/>
    <w:rsid w:val="00375704"/>
    <w:rsid w:val="00380DA5"/>
    <w:rsid w:val="00381DF2"/>
    <w:rsid w:val="0039234E"/>
    <w:rsid w:val="00392F9D"/>
    <w:rsid w:val="00393987"/>
    <w:rsid w:val="003A1D10"/>
    <w:rsid w:val="003A7DF6"/>
    <w:rsid w:val="003B21DE"/>
    <w:rsid w:val="003B47D9"/>
    <w:rsid w:val="003D4A69"/>
    <w:rsid w:val="003D6706"/>
    <w:rsid w:val="003E448B"/>
    <w:rsid w:val="003F427B"/>
    <w:rsid w:val="00412B9E"/>
    <w:rsid w:val="004136A9"/>
    <w:rsid w:val="00414C8B"/>
    <w:rsid w:val="004169F2"/>
    <w:rsid w:val="00421DBB"/>
    <w:rsid w:val="0042287B"/>
    <w:rsid w:val="004347AB"/>
    <w:rsid w:val="00435D4D"/>
    <w:rsid w:val="00450506"/>
    <w:rsid w:val="00450A8A"/>
    <w:rsid w:val="00457DC2"/>
    <w:rsid w:val="004636D5"/>
    <w:rsid w:val="00464FB2"/>
    <w:rsid w:val="0046589E"/>
    <w:rsid w:val="00473B3B"/>
    <w:rsid w:val="0048197B"/>
    <w:rsid w:val="0049090D"/>
    <w:rsid w:val="00490D53"/>
    <w:rsid w:val="00492CFC"/>
    <w:rsid w:val="004936B4"/>
    <w:rsid w:val="00496978"/>
    <w:rsid w:val="004A0AA2"/>
    <w:rsid w:val="004A0E68"/>
    <w:rsid w:val="004A2838"/>
    <w:rsid w:val="004B10CA"/>
    <w:rsid w:val="004B111A"/>
    <w:rsid w:val="004B13AF"/>
    <w:rsid w:val="004B1412"/>
    <w:rsid w:val="004B156A"/>
    <w:rsid w:val="004B1DB4"/>
    <w:rsid w:val="004B20C5"/>
    <w:rsid w:val="004B365F"/>
    <w:rsid w:val="004B602E"/>
    <w:rsid w:val="004B65BF"/>
    <w:rsid w:val="004B6CCD"/>
    <w:rsid w:val="004C4497"/>
    <w:rsid w:val="004E2C3B"/>
    <w:rsid w:val="004E391D"/>
    <w:rsid w:val="004E63A7"/>
    <w:rsid w:val="004E7656"/>
    <w:rsid w:val="004F4F5C"/>
    <w:rsid w:val="005045C2"/>
    <w:rsid w:val="00504880"/>
    <w:rsid w:val="0050688A"/>
    <w:rsid w:val="005078BD"/>
    <w:rsid w:val="005219B4"/>
    <w:rsid w:val="005406A5"/>
    <w:rsid w:val="00552A77"/>
    <w:rsid w:val="005608DB"/>
    <w:rsid w:val="005631A6"/>
    <w:rsid w:val="00563FAF"/>
    <w:rsid w:val="00565A5E"/>
    <w:rsid w:val="00565E78"/>
    <w:rsid w:val="00572766"/>
    <w:rsid w:val="00581ADC"/>
    <w:rsid w:val="00582C19"/>
    <w:rsid w:val="00587E5F"/>
    <w:rsid w:val="005972B8"/>
    <w:rsid w:val="00597308"/>
    <w:rsid w:val="005A6D21"/>
    <w:rsid w:val="005A72B4"/>
    <w:rsid w:val="005B3CD4"/>
    <w:rsid w:val="005C1E42"/>
    <w:rsid w:val="005C2206"/>
    <w:rsid w:val="005C4371"/>
    <w:rsid w:val="005D0722"/>
    <w:rsid w:val="005E01DC"/>
    <w:rsid w:val="005E4320"/>
    <w:rsid w:val="005E69B9"/>
    <w:rsid w:val="00600702"/>
    <w:rsid w:val="0061780A"/>
    <w:rsid w:val="00632F16"/>
    <w:rsid w:val="00646F3A"/>
    <w:rsid w:val="006603F4"/>
    <w:rsid w:val="00661660"/>
    <w:rsid w:val="0066276A"/>
    <w:rsid w:val="0066668C"/>
    <w:rsid w:val="00666F23"/>
    <w:rsid w:val="00670A29"/>
    <w:rsid w:val="0067760A"/>
    <w:rsid w:val="006841DE"/>
    <w:rsid w:val="00684B42"/>
    <w:rsid w:val="006850F3"/>
    <w:rsid w:val="0068758A"/>
    <w:rsid w:val="006941FA"/>
    <w:rsid w:val="00694E2C"/>
    <w:rsid w:val="006A4E97"/>
    <w:rsid w:val="006B7FA6"/>
    <w:rsid w:val="006C08FC"/>
    <w:rsid w:val="006C1AB2"/>
    <w:rsid w:val="006C352A"/>
    <w:rsid w:val="006C62A8"/>
    <w:rsid w:val="006D01C3"/>
    <w:rsid w:val="006D221C"/>
    <w:rsid w:val="006D64F1"/>
    <w:rsid w:val="006E525D"/>
    <w:rsid w:val="006E574E"/>
    <w:rsid w:val="006F1902"/>
    <w:rsid w:val="006F3196"/>
    <w:rsid w:val="00705E54"/>
    <w:rsid w:val="0071126F"/>
    <w:rsid w:val="007125CF"/>
    <w:rsid w:val="00726E9E"/>
    <w:rsid w:val="007276C2"/>
    <w:rsid w:val="00734EBA"/>
    <w:rsid w:val="00752C63"/>
    <w:rsid w:val="007532BC"/>
    <w:rsid w:val="00782AB3"/>
    <w:rsid w:val="007A46B3"/>
    <w:rsid w:val="007B34E2"/>
    <w:rsid w:val="007B41A8"/>
    <w:rsid w:val="007C0379"/>
    <w:rsid w:val="007C17A0"/>
    <w:rsid w:val="007C1E40"/>
    <w:rsid w:val="007D1F9D"/>
    <w:rsid w:val="007D561E"/>
    <w:rsid w:val="007D5E99"/>
    <w:rsid w:val="007E13F2"/>
    <w:rsid w:val="007E4710"/>
    <w:rsid w:val="007E4FD3"/>
    <w:rsid w:val="007F14BA"/>
    <w:rsid w:val="007F3E96"/>
    <w:rsid w:val="007F63E2"/>
    <w:rsid w:val="008041BF"/>
    <w:rsid w:val="008157A8"/>
    <w:rsid w:val="0081599F"/>
    <w:rsid w:val="00817A17"/>
    <w:rsid w:val="00824428"/>
    <w:rsid w:val="008251AB"/>
    <w:rsid w:val="00835AEF"/>
    <w:rsid w:val="00837B23"/>
    <w:rsid w:val="00841F3D"/>
    <w:rsid w:val="0084375F"/>
    <w:rsid w:val="0084434D"/>
    <w:rsid w:val="0085432B"/>
    <w:rsid w:val="0085498B"/>
    <w:rsid w:val="00861F8F"/>
    <w:rsid w:val="00866E8A"/>
    <w:rsid w:val="00867AC5"/>
    <w:rsid w:val="00874A51"/>
    <w:rsid w:val="0087512B"/>
    <w:rsid w:val="008928B7"/>
    <w:rsid w:val="00892D58"/>
    <w:rsid w:val="008A073C"/>
    <w:rsid w:val="008A184B"/>
    <w:rsid w:val="008A2003"/>
    <w:rsid w:val="008A2931"/>
    <w:rsid w:val="008A5714"/>
    <w:rsid w:val="008A6677"/>
    <w:rsid w:val="008B03E7"/>
    <w:rsid w:val="008B0E76"/>
    <w:rsid w:val="008B2C6E"/>
    <w:rsid w:val="008B49C5"/>
    <w:rsid w:val="008D0802"/>
    <w:rsid w:val="008D2D07"/>
    <w:rsid w:val="008E41BA"/>
    <w:rsid w:val="008F0FD6"/>
    <w:rsid w:val="008F1F95"/>
    <w:rsid w:val="008F291D"/>
    <w:rsid w:val="009000CB"/>
    <w:rsid w:val="00907325"/>
    <w:rsid w:val="0090745B"/>
    <w:rsid w:val="00912253"/>
    <w:rsid w:val="00914DEA"/>
    <w:rsid w:val="00921A57"/>
    <w:rsid w:val="009241CF"/>
    <w:rsid w:val="0092675F"/>
    <w:rsid w:val="009500B2"/>
    <w:rsid w:val="009624D8"/>
    <w:rsid w:val="00964DD8"/>
    <w:rsid w:val="009846D3"/>
    <w:rsid w:val="00987078"/>
    <w:rsid w:val="009A0FB1"/>
    <w:rsid w:val="009A5FCE"/>
    <w:rsid w:val="009B0745"/>
    <w:rsid w:val="009B6C96"/>
    <w:rsid w:val="009B7D31"/>
    <w:rsid w:val="009C7444"/>
    <w:rsid w:val="009D4549"/>
    <w:rsid w:val="009D6179"/>
    <w:rsid w:val="009D6B34"/>
    <w:rsid w:val="009D72A4"/>
    <w:rsid w:val="009E1111"/>
    <w:rsid w:val="009E2CD2"/>
    <w:rsid w:val="009E4EDD"/>
    <w:rsid w:val="009F3AF5"/>
    <w:rsid w:val="009F408D"/>
    <w:rsid w:val="009F634F"/>
    <w:rsid w:val="00A0754A"/>
    <w:rsid w:val="00A144D7"/>
    <w:rsid w:val="00A209C3"/>
    <w:rsid w:val="00A25335"/>
    <w:rsid w:val="00A44141"/>
    <w:rsid w:val="00A46CA7"/>
    <w:rsid w:val="00A472D4"/>
    <w:rsid w:val="00A540FF"/>
    <w:rsid w:val="00A567CE"/>
    <w:rsid w:val="00A632AF"/>
    <w:rsid w:val="00A64555"/>
    <w:rsid w:val="00A6619F"/>
    <w:rsid w:val="00A66DA1"/>
    <w:rsid w:val="00A70CDC"/>
    <w:rsid w:val="00A7629D"/>
    <w:rsid w:val="00A77ACA"/>
    <w:rsid w:val="00A847F3"/>
    <w:rsid w:val="00A95E3A"/>
    <w:rsid w:val="00AA08C1"/>
    <w:rsid w:val="00AC46E7"/>
    <w:rsid w:val="00AC5C6B"/>
    <w:rsid w:val="00AE1B78"/>
    <w:rsid w:val="00AF023D"/>
    <w:rsid w:val="00AF512F"/>
    <w:rsid w:val="00B04D41"/>
    <w:rsid w:val="00B06195"/>
    <w:rsid w:val="00B07E27"/>
    <w:rsid w:val="00B1531D"/>
    <w:rsid w:val="00B163E3"/>
    <w:rsid w:val="00B20A61"/>
    <w:rsid w:val="00B24C00"/>
    <w:rsid w:val="00B342B6"/>
    <w:rsid w:val="00B35254"/>
    <w:rsid w:val="00B375B3"/>
    <w:rsid w:val="00B477AE"/>
    <w:rsid w:val="00B67B44"/>
    <w:rsid w:val="00B7701C"/>
    <w:rsid w:val="00B81DAD"/>
    <w:rsid w:val="00B87741"/>
    <w:rsid w:val="00B87943"/>
    <w:rsid w:val="00B91E7F"/>
    <w:rsid w:val="00BA035F"/>
    <w:rsid w:val="00BA0BC1"/>
    <w:rsid w:val="00BC3B54"/>
    <w:rsid w:val="00BD0B0A"/>
    <w:rsid w:val="00C02075"/>
    <w:rsid w:val="00C040C4"/>
    <w:rsid w:val="00C05E91"/>
    <w:rsid w:val="00C071BE"/>
    <w:rsid w:val="00C10107"/>
    <w:rsid w:val="00C1277A"/>
    <w:rsid w:val="00C14EBE"/>
    <w:rsid w:val="00C1566A"/>
    <w:rsid w:val="00C1615D"/>
    <w:rsid w:val="00C22A2C"/>
    <w:rsid w:val="00C270AE"/>
    <w:rsid w:val="00C426A1"/>
    <w:rsid w:val="00C562FC"/>
    <w:rsid w:val="00C63C69"/>
    <w:rsid w:val="00C76E40"/>
    <w:rsid w:val="00C90FFB"/>
    <w:rsid w:val="00CA0A7D"/>
    <w:rsid w:val="00CA6D63"/>
    <w:rsid w:val="00CA6DAD"/>
    <w:rsid w:val="00CB0A16"/>
    <w:rsid w:val="00CB752D"/>
    <w:rsid w:val="00CC511A"/>
    <w:rsid w:val="00CE67B0"/>
    <w:rsid w:val="00CF6DE0"/>
    <w:rsid w:val="00D06E29"/>
    <w:rsid w:val="00D1527B"/>
    <w:rsid w:val="00D16E9F"/>
    <w:rsid w:val="00D206BD"/>
    <w:rsid w:val="00D27A5F"/>
    <w:rsid w:val="00D31593"/>
    <w:rsid w:val="00D35A76"/>
    <w:rsid w:val="00D40FB1"/>
    <w:rsid w:val="00D44A70"/>
    <w:rsid w:val="00D44B2F"/>
    <w:rsid w:val="00D50F43"/>
    <w:rsid w:val="00D6005A"/>
    <w:rsid w:val="00D609BD"/>
    <w:rsid w:val="00D61E61"/>
    <w:rsid w:val="00D623B7"/>
    <w:rsid w:val="00D71655"/>
    <w:rsid w:val="00D729E7"/>
    <w:rsid w:val="00D73C9B"/>
    <w:rsid w:val="00D74A1E"/>
    <w:rsid w:val="00D8105B"/>
    <w:rsid w:val="00D84F9E"/>
    <w:rsid w:val="00D927D5"/>
    <w:rsid w:val="00D94991"/>
    <w:rsid w:val="00D96665"/>
    <w:rsid w:val="00D97559"/>
    <w:rsid w:val="00DB1425"/>
    <w:rsid w:val="00DB2F24"/>
    <w:rsid w:val="00DB71FD"/>
    <w:rsid w:val="00DC2468"/>
    <w:rsid w:val="00DC25AB"/>
    <w:rsid w:val="00DC414F"/>
    <w:rsid w:val="00DC500F"/>
    <w:rsid w:val="00DD197F"/>
    <w:rsid w:val="00DD43DB"/>
    <w:rsid w:val="00DE0C9E"/>
    <w:rsid w:val="00DE3284"/>
    <w:rsid w:val="00DF134C"/>
    <w:rsid w:val="00DF63DD"/>
    <w:rsid w:val="00E0405A"/>
    <w:rsid w:val="00E0703A"/>
    <w:rsid w:val="00E12345"/>
    <w:rsid w:val="00E13795"/>
    <w:rsid w:val="00E241CB"/>
    <w:rsid w:val="00E245B2"/>
    <w:rsid w:val="00E32E59"/>
    <w:rsid w:val="00E37E65"/>
    <w:rsid w:val="00E406CB"/>
    <w:rsid w:val="00E42D6A"/>
    <w:rsid w:val="00E42EB2"/>
    <w:rsid w:val="00E43810"/>
    <w:rsid w:val="00E43A50"/>
    <w:rsid w:val="00E52C31"/>
    <w:rsid w:val="00E5551D"/>
    <w:rsid w:val="00E75B20"/>
    <w:rsid w:val="00E82AD0"/>
    <w:rsid w:val="00E86A3C"/>
    <w:rsid w:val="00E927B2"/>
    <w:rsid w:val="00EA5117"/>
    <w:rsid w:val="00EA6CFE"/>
    <w:rsid w:val="00EB0747"/>
    <w:rsid w:val="00EB3BE0"/>
    <w:rsid w:val="00EC37F7"/>
    <w:rsid w:val="00ED5173"/>
    <w:rsid w:val="00EE482E"/>
    <w:rsid w:val="00EE68B0"/>
    <w:rsid w:val="00F01DF1"/>
    <w:rsid w:val="00F06097"/>
    <w:rsid w:val="00F215CE"/>
    <w:rsid w:val="00F21A65"/>
    <w:rsid w:val="00F22097"/>
    <w:rsid w:val="00F27DD8"/>
    <w:rsid w:val="00F36126"/>
    <w:rsid w:val="00F468E0"/>
    <w:rsid w:val="00F51293"/>
    <w:rsid w:val="00F52228"/>
    <w:rsid w:val="00F55D98"/>
    <w:rsid w:val="00F61FDF"/>
    <w:rsid w:val="00F71F90"/>
    <w:rsid w:val="00F7482C"/>
    <w:rsid w:val="00F8294D"/>
    <w:rsid w:val="00F84711"/>
    <w:rsid w:val="00F90D16"/>
    <w:rsid w:val="00F95943"/>
    <w:rsid w:val="00FA1397"/>
    <w:rsid w:val="00FA7C00"/>
    <w:rsid w:val="00FB59FA"/>
    <w:rsid w:val="00FB7ED7"/>
    <w:rsid w:val="00FD716E"/>
    <w:rsid w:val="00FE5073"/>
    <w:rsid w:val="00FE6C24"/>
    <w:rsid w:val="00FF0DB8"/>
    <w:rsid w:val="00FF1CC3"/>
    <w:rsid w:val="00FF4420"/>
    <w:rsid w:val="00FF7C78"/>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9C3"/>
    <w:rPr>
      <w:sz w:val="24"/>
      <w:lang w:val="en-AU"/>
    </w:rPr>
  </w:style>
  <w:style w:type="paragraph" w:styleId="Heading2">
    <w:name w:val="heading 2"/>
    <w:basedOn w:val="Normal"/>
    <w:next w:val="Normal"/>
    <w:qFormat/>
    <w:rsid w:val="00D40FB1"/>
    <w:pPr>
      <w:keepNext/>
      <w:spacing w:before="120" w:line="240" w:lineRule="exact"/>
      <w:outlineLvl w:val="1"/>
    </w:pPr>
    <w:rPr>
      <w:sz w:val="28"/>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40FB1"/>
    <w:pPr>
      <w:spacing w:before="100" w:after="100"/>
    </w:pPr>
    <w:rPr>
      <w:lang w:val="lv-LV"/>
    </w:rPr>
  </w:style>
  <w:style w:type="paragraph" w:styleId="Header">
    <w:name w:val="header"/>
    <w:basedOn w:val="Normal"/>
    <w:semiHidden/>
    <w:rsid w:val="00D40FB1"/>
    <w:pPr>
      <w:tabs>
        <w:tab w:val="center" w:pos="4153"/>
        <w:tab w:val="right" w:pos="8306"/>
      </w:tabs>
      <w:spacing w:after="200" w:line="276" w:lineRule="auto"/>
    </w:pPr>
    <w:rPr>
      <w:rFonts w:ascii="Calibri" w:eastAsia="Calibri" w:hAnsi="Calibri"/>
      <w:sz w:val="22"/>
      <w:lang w:val="lv-LV"/>
    </w:rPr>
  </w:style>
  <w:style w:type="paragraph" w:styleId="Footer">
    <w:name w:val="footer"/>
    <w:basedOn w:val="Normal"/>
    <w:semiHidden/>
    <w:rsid w:val="00D40FB1"/>
    <w:pPr>
      <w:tabs>
        <w:tab w:val="center" w:pos="4153"/>
        <w:tab w:val="right" w:pos="8306"/>
      </w:tabs>
      <w:spacing w:after="200" w:line="276" w:lineRule="auto"/>
    </w:pPr>
    <w:rPr>
      <w:rFonts w:ascii="Calibri" w:eastAsia="Calibri" w:hAnsi="Calibri"/>
      <w:sz w:val="22"/>
      <w:lang w:val="lv-LV"/>
    </w:rPr>
  </w:style>
  <w:style w:type="character" w:styleId="Hyperlink">
    <w:name w:val="Hyperlink"/>
    <w:basedOn w:val="DefaultParagraphFont"/>
    <w:semiHidden/>
    <w:rsid w:val="00D40FB1"/>
    <w:rPr>
      <w:color w:val="0000FF"/>
      <w:u w:val="single"/>
    </w:rPr>
  </w:style>
  <w:style w:type="paragraph" w:styleId="NormalWeb">
    <w:name w:val="Normal (Web)"/>
    <w:basedOn w:val="Normal"/>
    <w:uiPriority w:val="99"/>
    <w:unhideWhenUsed/>
    <w:rsid w:val="00D40FB1"/>
    <w:pPr>
      <w:spacing w:before="100" w:after="100"/>
    </w:pPr>
    <w:rPr>
      <w:rFonts w:ascii="Verdana" w:hAnsi="Verdana"/>
      <w:sz w:val="18"/>
      <w:lang w:val="en-US"/>
    </w:rPr>
  </w:style>
  <w:style w:type="paragraph" w:styleId="EnvelopeReturn">
    <w:name w:val="envelope return"/>
    <w:basedOn w:val="Normal"/>
    <w:semiHidden/>
    <w:rsid w:val="00D40FB1"/>
    <w:pPr>
      <w:keepLines/>
      <w:widowControl w:val="0"/>
      <w:spacing w:before="600"/>
    </w:pPr>
    <w:rPr>
      <w:sz w:val="26"/>
    </w:rPr>
  </w:style>
  <w:style w:type="paragraph" w:styleId="BodyText">
    <w:name w:val="Body Text"/>
    <w:basedOn w:val="Normal"/>
    <w:semiHidden/>
    <w:rsid w:val="00D40FB1"/>
    <w:pPr>
      <w:jc w:val="both"/>
    </w:pPr>
    <w:rPr>
      <w:sz w:val="28"/>
      <w:lang w:val="lv-LV"/>
    </w:rPr>
  </w:style>
  <w:style w:type="paragraph" w:customStyle="1" w:styleId="CharChar1CharRakstzRakstz">
    <w:name w:val="Char Char1 Char Rakstz. Rakstz."/>
    <w:basedOn w:val="Normal"/>
    <w:rsid w:val="00D40FB1"/>
    <w:pPr>
      <w:spacing w:after="160" w:line="240" w:lineRule="exact"/>
    </w:pPr>
    <w:rPr>
      <w:rFonts w:ascii="Tahoma" w:hAnsi="Tahoma"/>
      <w:sz w:val="20"/>
      <w:lang w:val="en-US"/>
    </w:rPr>
  </w:style>
  <w:style w:type="paragraph" w:customStyle="1" w:styleId="naisc">
    <w:name w:val="naisc"/>
    <w:basedOn w:val="Normal"/>
    <w:rsid w:val="00D40FB1"/>
    <w:pPr>
      <w:spacing w:before="75" w:after="75"/>
      <w:jc w:val="center"/>
    </w:pPr>
    <w:rPr>
      <w:lang w:val="lv-LV"/>
    </w:rPr>
  </w:style>
  <w:style w:type="paragraph" w:styleId="BodyTextIndent">
    <w:name w:val="Body Text Indent"/>
    <w:basedOn w:val="Normal"/>
    <w:semiHidden/>
    <w:rsid w:val="00D40FB1"/>
    <w:pPr>
      <w:ind w:firstLine="720"/>
      <w:jc w:val="both"/>
    </w:pPr>
    <w:rPr>
      <w:sz w:val="28"/>
    </w:rPr>
  </w:style>
  <w:style w:type="paragraph" w:styleId="BlockText">
    <w:name w:val="Block Text"/>
    <w:basedOn w:val="Normal"/>
    <w:semiHidden/>
    <w:rsid w:val="00D40FB1"/>
    <w:pPr>
      <w:ind w:left="57" w:right="57" w:firstLine="720"/>
      <w:jc w:val="both"/>
    </w:pPr>
    <w:rPr>
      <w:sz w:val="28"/>
      <w:lang w:val="lv-LV"/>
    </w:rPr>
  </w:style>
  <w:style w:type="character" w:styleId="FollowedHyperlink">
    <w:name w:val="FollowedHyperlink"/>
    <w:basedOn w:val="DefaultParagraphFont"/>
    <w:semiHidden/>
    <w:rsid w:val="00D40FB1"/>
    <w:rPr>
      <w:color w:val="800080"/>
      <w:u w:val="single"/>
    </w:rPr>
  </w:style>
  <w:style w:type="paragraph" w:styleId="FootnoteText">
    <w:name w:val="footnote text"/>
    <w:basedOn w:val="Normal"/>
    <w:link w:val="FootnoteTextChar"/>
    <w:rsid w:val="00964DD8"/>
    <w:pPr>
      <w:spacing w:after="120"/>
    </w:pPr>
    <w:rPr>
      <w:rFonts w:ascii="Calibri" w:hAnsi="Calibri"/>
      <w:sz w:val="20"/>
      <w:lang w:val="nb-NO" w:eastAsia="en-US"/>
    </w:rPr>
  </w:style>
  <w:style w:type="character" w:customStyle="1" w:styleId="FootnoteTextChar">
    <w:name w:val="Footnote Text Char"/>
    <w:basedOn w:val="DefaultParagraphFont"/>
    <w:link w:val="FootnoteText"/>
    <w:rsid w:val="00964DD8"/>
    <w:rPr>
      <w:rFonts w:ascii="Calibri" w:hAnsi="Calibri"/>
      <w:lang w:val="nb-NO" w:eastAsia="en-US"/>
    </w:rPr>
  </w:style>
  <w:style w:type="character" w:styleId="FootnoteReference">
    <w:name w:val="footnote reference"/>
    <w:basedOn w:val="DefaultParagraphFont"/>
    <w:rsid w:val="00964DD8"/>
    <w:rPr>
      <w:vertAlign w:val="superscript"/>
    </w:rPr>
  </w:style>
  <w:style w:type="character" w:styleId="HTMLCite">
    <w:name w:val="HTML Cite"/>
    <w:basedOn w:val="DefaultParagraphFont"/>
    <w:uiPriority w:val="99"/>
    <w:unhideWhenUsed/>
    <w:rsid w:val="00964DD8"/>
    <w:rPr>
      <w:i w:val="0"/>
      <w:iCs w:val="0"/>
      <w:color w:val="0E774A"/>
    </w:rPr>
  </w:style>
  <w:style w:type="paragraph" w:customStyle="1" w:styleId="tvhtmlmktable">
    <w:name w:val="tv_html mk_table"/>
    <w:basedOn w:val="Normal"/>
    <w:rsid w:val="00666F23"/>
    <w:pPr>
      <w:spacing w:before="100" w:beforeAutospacing="1" w:after="100" w:afterAutospacing="1"/>
    </w:pPr>
    <w:rPr>
      <w:szCs w:val="24"/>
      <w:lang w:val="lv-LV"/>
    </w:rPr>
  </w:style>
  <w:style w:type="paragraph" w:styleId="ListParagraph">
    <w:name w:val="List Paragraph"/>
    <w:basedOn w:val="Normal"/>
    <w:uiPriority w:val="34"/>
    <w:qFormat/>
    <w:rsid w:val="00565A5E"/>
    <w:pPr>
      <w:ind w:left="720"/>
      <w:contextualSpacing/>
    </w:pPr>
  </w:style>
  <w:style w:type="character" w:styleId="Emphasis">
    <w:name w:val="Emphasis"/>
    <w:basedOn w:val="DefaultParagraphFont"/>
    <w:uiPriority w:val="20"/>
    <w:qFormat/>
    <w:rsid w:val="00CE67B0"/>
    <w:rPr>
      <w:b/>
      <w:bCs/>
      <w:i w:val="0"/>
      <w:iCs w:val="0"/>
    </w:rPr>
  </w:style>
  <w:style w:type="character" w:customStyle="1" w:styleId="st">
    <w:name w:val="st"/>
    <w:basedOn w:val="DefaultParagraphFont"/>
    <w:rsid w:val="00CE67B0"/>
  </w:style>
  <w:style w:type="table" w:styleId="TableGrid">
    <w:name w:val="Table Grid"/>
    <w:basedOn w:val="TableNormal"/>
    <w:rsid w:val="00CE67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nod">
    <w:name w:val="naisnod"/>
    <w:basedOn w:val="Normal"/>
    <w:rsid w:val="00CE67B0"/>
    <w:pPr>
      <w:spacing w:before="150" w:after="150"/>
      <w:jc w:val="center"/>
    </w:pPr>
    <w:rPr>
      <w:b/>
      <w:bCs/>
      <w:szCs w:val="24"/>
      <w:lang w:val="lv-LV"/>
    </w:rPr>
  </w:style>
  <w:style w:type="paragraph" w:customStyle="1" w:styleId="naiskr">
    <w:name w:val="naiskr"/>
    <w:basedOn w:val="Normal"/>
    <w:rsid w:val="00CE67B0"/>
    <w:pPr>
      <w:spacing w:before="75" w:after="75"/>
    </w:pPr>
    <w:rPr>
      <w:szCs w:val="24"/>
      <w:lang w:val="lv-LV"/>
    </w:rPr>
  </w:style>
  <w:style w:type="character" w:styleId="Strong">
    <w:name w:val="Strong"/>
    <w:basedOn w:val="DefaultParagraphFont"/>
    <w:uiPriority w:val="22"/>
    <w:qFormat/>
    <w:rsid w:val="00B1531D"/>
    <w:rPr>
      <w:b/>
      <w:bCs/>
    </w:rPr>
  </w:style>
  <w:style w:type="paragraph" w:styleId="BalloonText">
    <w:name w:val="Balloon Text"/>
    <w:basedOn w:val="Normal"/>
    <w:link w:val="BalloonTextChar"/>
    <w:uiPriority w:val="99"/>
    <w:semiHidden/>
    <w:unhideWhenUsed/>
    <w:rsid w:val="009E1111"/>
    <w:rPr>
      <w:rFonts w:ascii="Tahoma" w:hAnsi="Tahoma" w:cs="Tahoma"/>
      <w:sz w:val="16"/>
      <w:szCs w:val="16"/>
    </w:rPr>
  </w:style>
  <w:style w:type="character" w:customStyle="1" w:styleId="BalloonTextChar">
    <w:name w:val="Balloon Text Char"/>
    <w:basedOn w:val="DefaultParagraphFont"/>
    <w:link w:val="BalloonText"/>
    <w:uiPriority w:val="99"/>
    <w:semiHidden/>
    <w:rsid w:val="009E1111"/>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A536B-FB23-4442-9CC9-202D0F3A6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3715</Words>
  <Characters>26846</Characters>
  <Application>Microsoft Office Word</Application>
  <DocSecurity>0</DocSecurity>
  <Lines>223</Lines>
  <Paragraphs>60</Paragraphs>
  <ScaleCrop>false</ScaleCrop>
  <HeadingPairs>
    <vt:vector size="2" baseType="variant">
      <vt:variant>
        <vt:lpstr>Title</vt:lpstr>
      </vt:variant>
      <vt:variant>
        <vt:i4>1</vt:i4>
      </vt:variant>
    </vt:vector>
  </HeadingPairs>
  <TitlesOfParts>
    <vt:vector size="1" baseType="lpstr">
      <vt:lpstr>EMAnot_19032013_NOR_programma; Ministru kabineta noteikumu projekta  „Programmas „Inovācijas „zaļās” ražošanas jomā” īstenošanas kārtība” sākotnējās ietekmes novērtējuma ziņojums (anotācija)</vt:lpstr>
    </vt:vector>
  </TitlesOfParts>
  <Company>EM</Company>
  <LinksUpToDate>false</LinksUpToDate>
  <CharactersWithSpaces>30501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EMAnot_19032013_NOR_programma; Ministru kabineta noteikumu projekta  „Programmas „Inovācijas „zaļās” ražošanas jomā” īstenošanas kārtība” sākotnējās ietekmes novērtējuma ziņojums (anotācija)</dc:title>
  <dc:creator>Dina Buse</dc:creator>
  <cp:lastModifiedBy>Dina Buse</cp:lastModifiedBy>
  <cp:revision>4</cp:revision>
  <cp:lastPrinted>2013-02-18T12:05:00Z</cp:lastPrinted>
  <dcterms:created xsi:type="dcterms:W3CDTF">2013-03-19T13:43:00Z</dcterms:created>
  <dcterms:modified xsi:type="dcterms:W3CDTF">2013-03-19T13:47:00Z</dcterms:modified>
</cp:coreProperties>
</file>